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525/2013 vom 11. Juni 2013</w:t>
      </w:r>
    </w:p>
    <w:p>
      <w:r>
        <w:t>Bundesgericht, 2013-06-11, FR</w:t>
      </w:r>
    </w:p>
    <w:p>
      <w:r>
        <w:rPr>
          <w:b/>
        </w:rPr>
        <w:t xml:space="preserve">Quelle: </w:t>
      </w:r>
      <w:r>
        <w:t>https://mcp.opencaselaw.ch/entscheid/bger_6B_525_2013</w:t>
      </w:r>
    </w:p>
    <w:p>
      <w:r>
        <w:t>FR: TF 6B 525/2013 du 11 juin 2013</w:t>
      </w:r>
    </w:p>
    <w:p>
      <w:r>
        <w:t>IT: TF 6B 525/2013 del 11 giugno 2013</w:t>
      </w:r>
    </w:p>
    <w:p>
      <w:pPr>
        <w:pStyle w:val="Heading2"/>
      </w:pPr>
      <w:r>
        <w:t>Regeste</w:t>
      </w:r>
    </w:p>
    <w:p>
      <w:r>
        <w:t>Irrecevabilité formelle du recours en matière pénale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courrier électronique du 13 mai 2013 reçu le lendemain par le Consulat général suisse à Montréal, X.________, domicilié au Canada, déclare interjeter un recours en matière pénale à l'encontre de l'arrêt de la Chambre pénale d'appel et de révision genevoise du 25 mars 2013 qui lui a été notifié le 12 avril 2013. Aux termes du courriel, il requiert la désignation d'un défenseur d'office chargé de la rédaction du mémoire et, à cette fin, une prolongation du délai de recours.</w:t>
      </w:r>
    </w:p>
    <w:p>
      <w:r>
        <w:rPr>
          <w:b/>
        </w:rPr>
        <w:t>E. 1.2</w:t>
      </w:r>
    </w:p>
    <w:p>
      <w:r>
        <w:t>Le recours au Tribunal fédéral doit être déposé dans les 30 jours qui suivent la notification de la décision attaquée ( art. 100 al. 1 LTF ). Les mémoires doivent être remis au plus tard le dernier jour du délai, soit au Tribunal fédéral soit, à l'attention de ce dernier, à La Poste Suisse ou à une représentation diplomatique ou consulaire suisse ( art. 48 al. 1 LTF ). En cas de transmission par voie électronique, le délai est observé si, avant son échéance, le système informatique correspondant à l'adresse électronique officielle du Tribunal fédéral confirme la réception du mémoire ( art. 48 al. 2 LTF ). Dans le délai de recours qui n'est pas prolongeable (cf. art. 47 al. 1 LTF ), le recourant doit déposer un mémoire contenant les conclusions ainsi que les moyens de preuve invoqués, et exposant succinctement en quoi l'acte attaqué viole le droit ( art. 42 al. 1 et 2 LTF ), étant précisé que le bénéfice de l'assistance judiciaire, respectivement la désignation d'un avocat d'office, ne saurait précéder le dépôt du recours ( BERNARD CORBOZ, Commentaire de la LTF, 2009, ch. 38 ad art. 64 LTF ).</w:t>
      </w:r>
    </w:p>
    <w:p>
      <w:r>
        <w:rPr>
          <w:b/>
        </w:rPr>
        <w:t>E. 1.3</w:t>
      </w:r>
    </w:p>
    <w:p>
      <w:r>
        <w:t>La question de savoir si le délai de recours a été observé en l'espèce peut rester ouverte, le présent recours étant en tout état de cause irrecevable. En effet, celui-ci ne contient ni motifs ni conclusions, de sorte qu'il ne respecte pas les formalités précitées. Il doit être écarté en application de l' art. 108 al. 1 let. b LTF , aucune prolongation du délai de recours - échu - n'étant admissible.</w:t>
      </w:r>
    </w:p>
    <w:p>
      <w:r>
        <w:rPr>
          <w:b/>
        </w:rPr>
        <w:t>E. 2</w:t>
      </w:r>
    </w:p>
    <w:p>
      <w:r>
        <w:t>Le présent arrêt est exceptionnellement rendu sans frais.</w:t>
      </w:r>
    </w:p>
    <w:p>
      <w:r>
        <w:rPr>
          <w:b/>
        </w:rPr>
        <w:t>E. 3</w:t>
      </w:r>
    </w:p>
    <w:p>
      <w:r>
        <w:t>Le recourant n'a pas de domicile de notification en Suisse, de sorte que le Tribunal fédéral s'abstient de lui adresser le présent arrêt par voie de notification (cf. art. 39 al. 3 LTF ). Si le recourant choisit d'élire un tel domicile en Suisse, le Tribunal fédéral y procédera à ladite notification à première réquisition de l'intéressé. Pour information, le présent arrêt lui est néanmoins transmis par envoi prioritaire, l'exemplaire à sa destination étant conservé au dossier à sa disposition. Par ces motifs, le Juge unique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