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523/2016 vom 10. Mai 2016</w:t>
      </w:r>
    </w:p>
    <w:p>
      <w:r>
        <w:t>Bundesgericht, 2016-05-10, DE</w:t>
      </w:r>
    </w:p>
    <w:p>
      <w:r>
        <w:rPr>
          <w:b/>
        </w:rPr>
        <w:t xml:space="preserve">Quelle: </w:t>
      </w:r>
      <w:r>
        <w:t>https://mcp.opencaselaw.ch/entscheid/bger_6B_523_2016</w:t>
      </w:r>
    </w:p>
    <w:p>
      <w:r>
        <w:t>FR: TF 6B 523/2016 du 10 mai 2016</w:t>
      </w:r>
    </w:p>
    <w:p>
      <w:r>
        <w:t>IT: TF 6B 523/2016 del 10 maggio 2016</w:t>
      </w:r>
    </w:p>
    <w:p>
      <w:pPr>
        <w:pStyle w:val="Heading2"/>
      </w:pPr>
      <w:r>
        <w:t>Regeste</w:t>
      </w:r>
    </w:p>
    <w:p>
      <w:r>
        <w:t>Anordnung von Freiheitsstrafen | Straf- und Massnahmenvollzug</w:t>
      </w:r>
    </w:p>
    <w:p>
      <w:pPr>
        <w:pStyle w:val="Heading2"/>
      </w:pPr>
      <w:r>
        <w:t>Erwägungen</w:t>
      </w:r>
    </w:p>
    <w:p>
      <w:r>
        <w:rPr>
          <w:b/>
        </w:rPr>
        <w:t>E. 1</w:t>
      </w:r>
    </w:p>
    <w:p>
      <w:r>
        <w:t>Das Kantonsgericht Luzern trat am 6. April 2016 auf eine Verwaltungsgerichtsbeschwerde nicht ein, da sich der Beschwerdeführer nicht genügend mit den Erwägungen der ersten Instanz auseinandergesetzt hatte. Der Beschwerdeführer wendet sich ans Bundesgericht und beantragt, der Entscheid des Kantonsgerichts sei "wegen Diskriminierung und Fahrlässigkeit" aufzuheben. Im vorliegenden Verfahren kann sich das Bundesgericht nur mit den Begründungsanforderungen einer Beschwerde ans Kantonsgericht befassen ( Art. 42 Abs. 2 BGG ). Dazu äussert sich der Beschwerdeführer nicht. Seine Ausführungen sind samt und sonders unzulässig. Auf die Beschwerde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