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6B_523/2013 vom 10. September 2013</w:t>
      </w:r>
    </w:p>
    <w:p>
      <w:r>
        <w:t>Bundesgericht, 2013-09-10, DE</w:t>
      </w:r>
    </w:p>
    <w:p>
      <w:r>
        <w:rPr>
          <w:b/>
        </w:rPr>
        <w:t xml:space="preserve">Quelle: </w:t>
      </w:r>
      <w:r>
        <w:t>https://mcp.opencaselaw.ch/entscheid/bger_6B_523_2013</w:t>
      </w:r>
    </w:p>
    <w:p>
      <w:r>
        <w:t>FR: TF 6B_523/2013 du 10 septembre 2013</w:t>
      </w:r>
    </w:p>
    <w:p>
      <w:r>
        <w:t>IT: TF 6B_523/2013 del 10 settembre 2013</w:t>
      </w:r>
    </w:p>
    <w:p>
      <w:pPr>
        <w:pStyle w:val="Heading2"/>
      </w:pPr>
      <w:r>
        <w:t>Erwägungen</w:t>
      </w:r>
    </w:p>
    <w:p>
      <w:r>
        <w:rPr>
          <w:b/>
        </w:rPr>
        <w:t>E. 1.1</w:t>
      </w:r>
    </w:p>
    <w:p>
      <w:r>
        <w:t>Umstritten ist allein die Verlegung der Kosten für das erstinstanzliche Gerichtsverfahren. Die Vorinstanz nahm die Kosten der Stellungnahme des Strassenverkehrsamts auf die Staatskasse, weil der Beschwerdeführer vom Vorwurf der Widerhandlung gegen das Strassenverkehrsgesetz freigesprochen wurde und sich damit jene Verfahrenshandlung als unnötig erwies. Im Übrigen auferlegte es dem Beschwerdeführer die Verfahrenskosten und sprach ihm keine Parteientschädigung zu. Die Vorinstanz verwies zwar darauf, dass bei einem Teilfreispruch in aller Regel eine anteilmässige Kostenverlegung zu erfolgen hat. Nachdem aber keine klar voneinander zu trennenden Untersuchungs- und Anklagepunkte gegeben seien, rechtfertige es sich, dem Beschwerdeführer ausnahmsweise sämtliche Kosten aufzuerlegen, auch wenn ihn hinsichtlich des zum Freispruch führenden Anklagesachverhalts kein prozessuales Verschulden im engeren Sinn treffe.</w:t>
      </w:r>
    </w:p>
    <w:p>
      <w:r>
        <w:rPr>
          <w:b/>
        </w:rPr>
        <w:t>E. 1.2</w:t>
      </w:r>
    </w:p>
    <w:p>
      <w:r>
        <w:t>Der Beschwerdeführer stellt sich auf den Standpunkt, dass ihm die eingeholte Stellungnahme des Strassenverkehrsamtes überhaupt nicht und die übrigen Kosten des erstinstanzlichen Verfahrens nur zu einem Drittel auferlegt werden könnten. Er sei in einem von zwei Anklagepunkten freigesprochen worden. Eine Analyse des erstinstanzlichen Urteils zeige, dass der Hauptaufwand nicht im Zusammenhang mit dem ihm zur Last gelegten Vergehen gegen das Waffengesetz entstanden sei, sondern auf dem Vorwurf der Widerhandlung gegen das Strassenverkehrsgesetz beruhe.</w:t>
      </w:r>
    </w:p>
    <w:p>
      <w:r>
        <w:rPr>
          <w:b/>
        </w:rPr>
        <w:t>E. 2.1</w:t>
      </w:r>
    </w:p>
    <w:p>
      <w:r>
        <w:t>Gemäss Art. 426 Abs. 1 StPO trägt die beschuldigte Person die Verfahrenskosten, wenn sie verurteilt wird. Sie trägt die Kosten nicht, die der Kanton u.a. durch unnötige Verfahrenshandlungen verursacht hat ( Art. 426 Abs. 3 lit. a StPO ). Wird das Verfahren eingestellt oder die beschuldigte Person freigesprochen, können ihr die Verfahrenskosten ganz oder teilweise auferlegt werden, wenn sie rechtswidrig und schuldhaft die Einleitung des Verfahrens bewirkt oder dessen Durchführung erschwert hat ( Art. 426 Abs. 2 StPO ). Fehlt es an den Voraussetzungen für eine Kostenauflage und werden die Kosten ganz oder teilweise auf die Staatskasse genommen, hat die beschuldigte Person in aller Regel Anspruch auf eine entsprechende Parteientschädigung (Art. 429 f. StPO; vgl. BGE 137 IV 352 E. 2.4.2 mit Hinweisen).</w:t>
      </w:r>
    </w:p>
    <w:p>
      <w:r>
        <w:rPr>
          <w:b/>
        </w:rPr>
        <w:t>E. 2.2</w:t>
      </w:r>
    </w:p>
    <w:p>
      <w:r>
        <w:t>Die Vorinstanz hat die gesamten Verfahrenskosten der ersten Instanz - mit Ausnahme der als unnötig erachteten Stellungnahme des Strassenverkehrsamts - dem Beschwerdeführer auferlegt. Zur Begründung führte sie aus, es liege im Hinblick auf die beiden Anklagesachverhalte ein einheitlicher Sachverhaltskomplex vor, sodass eine Kostenaufteilung nicht möglich sei.</w:t>
      </w:r>
    </w:p>
    <w:p>
      <w:r>
        <w:t>Mit dieser Argumentation setzt sie sich nicht nur in Widerspruch zu ihrem Vorgehen bei der Verlegung ihrer eigenen Kosten. Die Begründung ist auch falsch. Der Beschwerdeführer wurde verurteilt, weil er, ohne im Besitz der erforderlichen Bewilligung zu sein, Waffen getragen bzw. im Kofferraum seines Wagens mit sich geführt hatte. Der andere Anklagesachverhalt, der zu einem Freispruch führte, bezog sich auf das vermeintlich unzulässige Anbringen eines Klebers auf der Frontscheibe seines Fahrzeugs. Diese beiden Vorwürfe lassen sich klar auseinanderhalten. Sie beruhen auf unterschiedlichen Handlungen des Beschwerdeführers, die - wie gerade der bisherige Gang des Verfahrens gezeigt hat - einer getrennten Untersuchung und Beurteilung ohne Weiteres zugänglich sind.</w:t>
      </w:r>
    </w:p>
    <w:p>
      <w:r>
        <w:t>Auch wenn eine präzise Aufteilung der auf die beiden Anklagesachverhalte entfallenden Aufwendungen nicht möglich ist, durfte es die Vorinstanz bei dieser Sachlage nicht dabei bewenden lassen, auf eine Ausscheidung der Kosten und damit auch auf die Zusprechung einer Parteientschädigung zu verzichten. Für das Berufungsverfahren hat sie denn auch eine dem Verfahrensausgang entsprechende hälftige Kostenverlegung vorgenommen. Es ist nicht einzusehen, weshalb eine analoge Regelung für das erstinstanzliche Verfahren nicht auch möglich sein soll.</w:t>
      </w:r>
    </w:p>
    <w:p>
      <w:r>
        <w:rPr>
          <w:b/>
        </w:rPr>
        <w:t>E. 3</w:t>
      </w:r>
    </w:p>
    <w:p>
      <w:r>
        <w:t>Die Beschwerde ist gutzuheissen, Ziffer 1 des angefochtenen Entscheids ist aufzuheben und die Sache zu neuer Entscheidung über die Verlegung der Kosten des erstinstanzlichen Gerichtsverfahrens und die Zusprechung einer Parteientschädigung an die Vorinstanz zurückzuweisen. Diese wird im Rahmen des ihr zustehenden Ermessens zu entscheiden haben, welche Kriterien sie bei der Aufteilung der Kosten zur Anwendung bringen will. So kann sie etwa auf die Anzahl und die Bedeutung der einzelnen Anklagesachverhalte, auf den darauf entfallenden Aufwand, auf das Verhältnis zwischen den beantragten und den ausgesprochenen Sanktionen oder Nebenfolgen sowie auf weitere Elemente abstellen, die einerseits mit der Untersuchung und Beurteilung und andererseits mit dem Ausgang des Verfahrens im Zusammenhang stehen.</w:t>
      </w:r>
    </w:p>
    <w:p>
      <w:r>
        <w:rPr>
          <w:b/>
        </w:rPr>
        <w:t>E. 4</w:t>
      </w:r>
    </w:p>
    <w:p>
      <w:r>
        <w:t>Bei diesem Ausgang des Verfahrens sind keine Gerichtskosten zu erheben ( Art. 66 Abs. 4 BGG ). Der Kanton Aargau hat dem Beschwerdeführer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