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521/2013 vom 1. Juli 2013</w:t>
      </w:r>
    </w:p>
    <w:p>
      <w:r>
        <w:t>Bundesgericht, 2013-07-01, DE</w:t>
      </w:r>
    </w:p>
    <w:p>
      <w:r>
        <w:rPr>
          <w:b/>
        </w:rPr>
        <w:t xml:space="preserve">Quelle: </w:t>
      </w:r>
      <w:r>
        <w:t>https://mcp.opencaselaw.ch/entscheid/bger_6B_521_2013</w:t>
      </w:r>
    </w:p>
    <w:p>
      <w:r>
        <w:t>FR: TF 6B 521/2013 du 1 juillet 2013</w:t>
      </w:r>
    </w:p>
    <w:p>
      <w:r>
        <w:t>IT: TF 6B 521/2013 del 1 luglio 2013</w:t>
      </w:r>
    </w:p>
    <w:p>
      <w:pPr>
        <w:pStyle w:val="Heading2"/>
      </w:pPr>
      <w:r>
        <w:t>Regeste</w:t>
      </w:r>
    </w:p>
    <w:p>
      <w:r>
        <w:t>Wiederherstellung der Einsprachefrist | Strafrecht (allgemein)</w:t>
      </w:r>
    </w:p>
    <w:p>
      <w:pPr>
        <w:pStyle w:val="Heading2"/>
      </w:pPr>
      <w:r>
        <w:t>Erwägungen</w:t>
      </w:r>
    </w:p>
    <w:p>
      <w:r>
        <w:rPr>
          <w:b/>
        </w:rPr>
        <w:t>E. 1</w:t>
      </w:r>
    </w:p>
    <w:p>
      <w:r>
        <w:t>Eine Beschwerde ist innert 30 Tagen nach der Eröffnung der vollständigen Ausfertigung des angefochtenen Entscheids dem Bundesgericht einzureichen ( Art. 100 Abs. 1 BGG ). Sie muss spätestens am letzten Tag der Frist der schweizerischen Post übergeben werden ( Art. 48 Abs. 1 BGG ). Sie hat nebst einem Antrag und einer Begründung eine Unterschrift zu enthalten ( Art. 42 Abs. 1 und 2 BGG ). Die Beschwerdefrist wird nach ständiger Rechtsprechung weder durch eine rechtzeitige Fax-Eingabe ans Bundesgericht noch durch rechtzeitige Aufgabe bei der Deutschen Post gewahrt (Urteile 9C_221/2013 vom 26. März 2013, 2C_754/2008 vom 23. Dezember 2008). Der angefochtene Entscheid wurde dem Beschwerdeführer gemäss Rückschein am 29. April 2013 zugestellt. Die Beschwerdefrist lief am 29. Mai 2013 ab. Die Fax-Eingabe von diesem Tag (act. 1) erfüllt die Formvorschriften nicht. Die schriftliche Fassung wurde ebenfalls am 29. Mai 2013, um 21.00 Uhr, in Hannover der Deutschen Post übergeben (act. 2 mit Umschlag). Sie konnte am selben Tag nicht mehr bei der schweizerischen Post eintreffen und ist deshalb verspätet.</w:t>
      </w:r>
    </w:p>
    <w:p>
      <w:r>
        <w:rPr>
          <w:b/>
        </w:rPr>
        <w:t>E. 2</w:t>
      </w:r>
    </w:p>
    <w:p>
      <w:r>
        <w:t>Im Übrigen genügt die Beschwerde auch materiell den Anforderungen nicht. Die Staatsanwaltschaft hatte einen Strafbefehl an eine Adresse des Beschwerdeführers zuzustellen versucht, die ihr von der Einwohnerkontrolle der Stadt Hannover bestätigt worden war (angefochtener Entscheid S. 8). Welche Norm besagen würde, dass sich die Staatsanwaltschaft nicht auf die Auskunft der Einwohnerkontrolle hätte verlassen dürfen, legt der Beschwerdeführer nicht dar. Seine Eingabe genügt den Begründungsanforderungen von Art. 42 Abs. 2 bzw. Art. 106 Abs. 2 BGG nicht.</w:t>
      </w:r>
    </w:p>
    <w:p>
      <w:r>
        <w:rPr>
          <w:b/>
        </w:rPr>
        <w:t>E. 3</w:t>
      </w:r>
    </w:p>
    <w:p>
      <w:r>
        <w:t>Auf die Beschwerde ist im Verfahren nach Art. 108 BGG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