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51/2022 vom 2. Februar 2023</w:t>
      </w:r>
    </w:p>
    <w:p>
      <w:r>
        <w:t>Bundesgericht, 2023-02-02, DE</w:t>
      </w:r>
    </w:p>
    <w:p>
      <w:r>
        <w:rPr>
          <w:b/>
        </w:rPr>
        <w:t xml:space="preserve">Quelle: </w:t>
      </w:r>
      <w:r>
        <w:t>https://mcp.opencaselaw.ch/entscheid/bger_6B_51_2022</w:t>
      </w:r>
    </w:p>
    <w:p>
      <w:r>
        <w:t>FR: TF 6B 51/2022 du 2 février 2023</w:t>
      </w:r>
    </w:p>
    <w:p>
      <w:r>
        <w:t>IT: TF 6B 51/2022 del 2 febbraio 2023</w:t>
      </w:r>
    </w:p>
    <w:p>
      <w:pPr>
        <w:pStyle w:val="Heading2"/>
      </w:pPr>
      <w:r>
        <w:t>Regeste</w:t>
      </w:r>
    </w:p>
    <w:p>
      <w:r>
        <w:t>Einstellungsverfügung (üble Nachrede) | Strafprozess</w:t>
      </w:r>
    </w:p>
    <w:p>
      <w:pPr>
        <w:pStyle w:val="Heading2"/>
      </w:pPr>
      <w:r>
        <w:t>Erwägungen</w:t>
      </w:r>
    </w:p>
    <w:p>
      <w:r>
        <w:rPr>
          <w:b/>
        </w:rPr>
        <w:t>E. 1.1</w:t>
      </w:r>
    </w:p>
    <w:p>
      <w:r>
        <w:t>Zur Beschwerde ist berechtigt, wer vor der Vorinstanz am Verfahren teilgenommen oder keine Möglichkeit zur Teilnahme erhalten hat ( Art. 81 Abs. 1 lit. a BGG ) und - kumulativ - ein rechtlich geschütztes Interesse an der Aufhebung oder Änderung des angefochtenen Entscheids hat, insbesondere gemäss Art. 81 Abs. 1 lit. b Ziff. 5 BGG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Als solche gelten Ansprüche, die ihren Grund im Zivilrecht haben und deshalb ordentlicherweise vor dem Zivilgericht durchgesetzt werden müssen. In erster Linie handelt es sich um Ansprüche auf Schadenersatz und Genugtuung nach Art. 41 ff. OR .</w:t>
      </w:r>
    </w:p>
    <w:p>
      <w:r>
        <w:rPr>
          <w:b/>
        </w:rPr>
        <w:t>E. 1.2</w:t>
      </w:r>
    </w:p>
    <w:p>
      <w:r>
        <w:t>Richtet sich die Beschwerde gegen die Einstellung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Urteile 6B_478/2021 vom 11. April 2022 E. 1.2; 6B_1006/2021 vom 22. November 2021 E. 3; 6B_1282/2020 vom 8. Juli 2021 E. 1.1; je mit Hinweisen).</w:t>
      </w:r>
    </w:p>
    <w:p>
      <w:r>
        <w:rPr>
          <w:b/>
        </w:rPr>
        <w:t>E. 1.3</w:t>
      </w:r>
    </w:p>
    <w:p>
      <w:r>
        <w:t>Der Beschwerdeführer trägt zu seiner Legitimation vor, er habe am 12. Oktober 2020 gegenüber der Staatsanwaltschaft schriftlich erklärt, dass er sich als Zivilkläger im Strafverfahren konstituiere, wobei er Schadens- sowie Genugtuungssummen beziffert habe. In seiner Beschwerde vor Bundesgericht bringt er zudem vor, seine Zivilansprüche liessen sich direkt von der Verletzung des Tatbestands von Art. 173 StGB ableiten.</w:t>
      </w:r>
    </w:p>
    <w:p>
      <w:r>
        <w:rPr>
          <w:b/>
        </w:rPr>
        <w:t>E. 1.4</w:t>
      </w:r>
    </w:p>
    <w:p>
      <w:r>
        <w:t>Damit kommt der Beschwerdeführer seiner Rügeobliegenheit nicht nach: Zum einen geht weder aus der Beschwerde noch seinem Schreiben vom 12. Oktober 2020 hervor, welche Schadenersatzforderungen er geltend machen wollte, die unmittelbar auf die angezeigte Straftat zurückgingen. Zum anderen genügt es ebenso wenig, wenn der Beschwerdeführer hinsichtlich der behaupteten Genugtuungsansprüche auf das erwähnte Schreiben verweist, ohne in der Beschwerde überhaupt auszuführen, inwiefern vorliegend die angebliche Persönlichkeitsverletzung objektiv und subjektiv schwer wiegen sollte (vgl. Urteile 6B_6/2021 vom 26. Oktober 2022 E. 1.3.3; 6B_515/2021 vom 2. November 2021 E. 1.1; 6B_880/2020 vom 1. Februar 2021 E. 1.3). Solches ist auch nicht leichthin ersichtlich. Jedenfalls ist nach Art. 49 OR eine Genugtuung nur geschuldet, sofern die Schwere der Verletzung dies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Die Sachlegitimation ist demnach zu verneinen.</w:t>
      </w:r>
    </w:p>
    <w:p>
      <w:r>
        <w:rPr>
          <w:b/>
        </w:rPr>
        <w:t>E. 1.5</w:t>
      </w:r>
    </w:p>
    <w:p>
      <w:r>
        <w:t>Ungeachtet der fehlenden Legitimation in der Sache kann vor Bundesgericht gerügt werden, im kantonalen Verfahren seien Parteirechte verletzt worden ("Star-Praxis"; BGE 141 IV 1 E. 1.1). Zulässig sind Rügen, die formeller Natur sind und von der Prüfung der Sache getrennt werden können; unzulässig sind daher Rügen, die im Ergebnis (d.h. indirekt) auf eine materielle Überprüfung des angefochtenen Entscheids abzielen ( BGE 146 IV 76 E. 2). Die in der Sache selbst nicht beschwerdelegitimierte Privatklägerschaft kann eine Verletzung von Verfahrensrechten geltend machen, wenn diese auf eine formelle Rechtsverweigerung hinausläuft. Diesbezüglich ergibt sich das nach Art. 81 Abs. 1 lit. b BGG erforderliche rechtlich geschützte Interesse aus dem Recht auf Verfahrensteilnahme ( BGE 141 IV 1 E. 1.1). Zulässig sind Rügen formeller Natur nur, wenn sie von der Prüfung der Sache getrennt werden können. Der in der Sache nicht legitimierte Beschwerdeführer kann deshalb weder die vorinstanzliche Beweiswürdigung kritisieren noch kann er vorbringen, die Begründung sei materiell unzutreffend ( BGE 141 IV 1 E. 1.1; 138 IV 78 E. 1.3; Urteil 6B_6/2021 vom 26. Oktober 2022 E. 1.4). Solche formellen Rügen macht der Beschwerdeführer nicht geltend. Soweit er eine Verletzung des Grundsatzes "in dubio pro duriore" rügt, ist er ebenso wenig zu hören, liefe dies doch auf eine Überprüfung in der Sache hinaus.</w:t>
      </w:r>
    </w:p>
    <w:p>
      <w:r>
        <w:rPr>
          <w:b/>
        </w:rPr>
        <w:t>E. 2</w:t>
      </w:r>
    </w:p>
    <w:p>
      <w:r>
        <w:t>Im Ergebnis kann auf die Beschwerde nicht eingetreten werden.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