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6B_518/2025 vom 20. Januar 2026</w:t>
      </w:r>
    </w:p>
    <w:p>
      <w:r>
        <w:t>Bundesgericht, 2026-01-20, FR</w:t>
      </w:r>
    </w:p>
    <w:p>
      <w:r>
        <w:rPr>
          <w:b/>
        </w:rPr>
        <w:t xml:space="preserve">Quelle: </w:t>
      </w:r>
      <w:r>
        <w:t>https://mcp.opencaselaw.ch/entscheid/bger_6B_518_2025</w:t>
      </w:r>
    </w:p>
    <w:p>
      <w:r>
        <w:t>FR: TF 6B_518/2025 du 20 janvier 2026</w:t>
      </w:r>
    </w:p>
    <w:p>
      <w:r>
        <w:t>IT: TF 6B_518/2025 del 20 gennaio 2026</w:t>
      </w:r>
    </w:p>
    <w:p>
      <w:pPr>
        <w:pStyle w:val="Heading2"/>
      </w:pPr>
      <w:r>
        <w:t>Erwägungen</w:t>
      </w:r>
    </w:p>
    <w:p>
      <w:r>
        <w:rPr>
          <w:b/>
        </w:rPr>
        <w:t>E. 1</w:t>
      </w:r>
    </w:p>
    <w:p>
      <w:r>
        <w:t>Le recourant conteste sa condamnation pour tentative de vol, dommages à la propriété et violation de domicile. Il se plaint de la violation de la présomption d'innocence tant au regard du fardeau de la preuve que de l'appréciation des preuves.</w:t>
      </w:r>
    </w:p>
    <w:p>
      <w:r>
        <w:rPr>
          <w:b/>
        </w:rPr>
        <w:t>E.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144 IV 345 consid. 2.2.3.1; 127 I 38 consid. 2a).</w:t>
      </w:r>
    </w:p>
    <w:p>
      <w:r>
        <w:t>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1.2</w:t>
      </w:r>
    </w:p>
    <w:p>
      <w:r>
        <w:t>La cour cantonale a estimé que le recourant était l'auteur des faits dénoncés en se fondant essentiellement sur la présence de son ADN sur les outils retrouvés devant la porte forcée de l'établissement C.________. Ses déclarations au Ministère public et aux débats de première instance ne concordaient pas quant au moment où il aurait travaillé sur un chantier proche des lieux des infractions. Il n'avait fourni aucune indication ni aucun document permettant de corroborer le vol de ses outils et n'avait en outre effectué aucune démarche, pas même une déclaration de vol auprès de son employeur, ce qui était peu plausible. Ses explications invraisemblables et contradictoires contribuaient à renforcer la conviction des juges selon laquelle il était l'auteur de ces infractions. Enfin, le recourant avait fourni la même explication lors d'une précédente affaire dans le canton de X.________, pour des faits similaires et pour laquelle il avait été condamné en 2014.</w:t>
      </w:r>
    </w:p>
    <w:p>
      <w:r>
        <w:rPr>
          <w:b/>
        </w:rPr>
        <w:t>E. 2.1</w:t>
      </w:r>
    </w:p>
    <w:p>
      <w:r>
        <w:t>Le recourant fait grief à la cour cantonale d'avoir mis à sa charge la preuve de son innocence, en exigeant qu'il fournisse les raisons de la présence de son ADN sur les outils (pied de biche et ciseaux à bois) retrouvés devant la porte de l'établissement public C.________, laquelle avait été forcée.</w:t>
      </w:r>
    </w:p>
    <w:p>
      <w:r>
        <w:t>Contrairement à ce qui prévalait dans l'arrêt 6B_47/2018 du 20 septembre 2018 que le recourant cite à l'appui de son grief, la cour cantonale a retenu, sur la base des preuves à disposition, que le recourant était l'auteur de dommages à la propriété, de violation de domicile et de tentative de vol. Il n'apparaît donc nullement que le fardeau de la preuve aurait été renversé. En particulier, il n'a pas été demandé au recourant de prouver son innocence, notamment d'établir qu'il n'avait pas commis les infractions reprochées. Dès lors que les juges précédents sont parvenus à une conviction à partir des preuves apportées, on ne saurait leur reprocher une violation de la présomption d'innocence en tant que règle sur le fardeau de la preuve.</w:t>
      </w:r>
    </w:p>
    <w:p>
      <w:r>
        <w:rPr>
          <w:b/>
        </w:rPr>
        <w:t>E. 2.2.1</w:t>
      </w:r>
    </w:p>
    <w:p>
      <w:r>
        <w:t>Le recourant soutient encore que la cour cantonale l'a condamné en se référant uniquement à son comportement dans le cadre d'affaires pénales déjà jugées, sans même réunir les preuves permettant de rechercher la vérité matérielle. Il estime qu'il appartenait à la cour cantonale, si tant est qu'elle avait des doutes sur les explications qu'il avait fournies, de procéder à des mesures d'instruction complémentaires, notamment auprès des autorités u.________ aux fins d'obtenir des informations sur des vols commis à proximité des lieux de l'infraction avant la date des faits ou auprès de son employeur pour obtenir des informations sur un vol d'outils et/ou de camionnette, ce qui n'avait pas été fait. Par cette argumentation, il invoque le principe</w:t>
      </w:r>
    </w:p>
    <w:p>
      <w:r>
        <w:t>in dubio pro reo en tant que règle d'appréciation des preuves, qu'il convient d'examiner sous l'angle de l'arbitraire (cf.</w:t>
      </w:r>
    </w:p>
    <w:p>
      <w:r>
        <w:t>supra , consid. 1.1).</w:t>
      </w:r>
    </w:p>
    <w:p>
      <w:r>
        <w:rPr>
          <w:b/>
        </w:rPr>
        <w:t>E. 2.2.2</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w:t>
      </w:r>
    </w:p>
    <w:p>
      <w:r>
        <w:rPr>
          <w:b/>
        </w:rPr>
        <w:t>E. 2.2.3</w:t>
      </w:r>
    </w:p>
    <w:p>
      <w:r>
        <w:t>On relèvera que contrairement à ce que laisse entendre le recourant, la cour cantonale n'avait pas de doutes quant à la survenance des faits tels que décrits dans l'acte d'accusation, compte tenu des preuves dont elle disposait. L'argumentation du recourant consiste à livrer sa propre appréciation des preuves sans formuler de critiques circonstanciées à l'encontre de la motivation cantonale. Ce procédé, largement appellatoire, est irrecevable. C'est notamment le cas lorsqu'il affirme que la présence de son ADN sur les outils ayant servi à la commission des infractions était due au fait que ses outils, ainsi que sa camionnette, avaient été volés et qu'il avait déclaré le vol à la police du canton de U.________, alors que la cour cantonale a retenu, de manière à lier le Tribunal fédéral, qu'il avait déclaré en première instance qu'on lui avait volé ses outils et devant la cour d'appel pénale, que c'était sa camionnette qui avait été volée. Il en va de même lorsqu'il affirme que son employeur n'avait pas déposé plainte pour le vol de la camionnette alors que dans ses déclarations devant le tribunal de première instance, il indiquait ignorer si son employeur avait déposé plainte ou non.</w:t>
      </w:r>
    </w:p>
    <w:p>
      <w:r>
        <w:rPr>
          <w:b/>
        </w:rPr>
        <w:t>E. 2.3</w:t>
      </w:r>
    </w:p>
    <w:p>
      <w:r>
        <w:t>Le recourant critique également le fait que les premiers juges se seraient fondés sur ses antécédents pénaux pour se convaincre de son implication dans les faits dénoncés. Il conteste que le cas d'espèce serait "parfaitement similaire" au cas x.________ dans lequel il a été condamné pour vol, dommages à la propriété et violation de domicile. S'il est vrai que dans le cas d'espèce, il a été condamné pour tentative de vol et non pas pour vol comme dans le cas x.________, on relèvera que le</w:t>
      </w:r>
    </w:p>
    <w:p>
      <w:r>
        <w:t>modus operandi dans les deux cas était parfaitement similaire et que le recourant avait déjà invoqué les mêmes explications pour tenter de se disculper.</w:t>
      </w:r>
    </w:p>
    <w:p>
      <w:r>
        <w:t>Il résulte ainsi de ce qui précède que c'est sur la base des indices précités que les juges cantonaux ont retenu les faits contestés par le recourant dont l'argumentation ne suffit ainsi pas à démontrer que les preuves ont été appréciées de manière arbitraire.</w:t>
      </w:r>
    </w:p>
    <w:p>
      <w:r>
        <w:rPr>
          <w:b/>
        </w:rPr>
        <w:t>E. 3</w:t>
      </w:r>
    </w:p>
    <w:p>
      <w:r>
        <w:t>Contestant son expulsion, le recourant invoque ensuite une violation de la clause de rigueur ( art. 66a al. 2 CP ), plus particulièrement dans l'examen de la pesée des intérêts, au regard de la protection de sa vie privée et familiale ( art. 8 CEDH ).</w:t>
      </w:r>
    </w:p>
    <w:p>
      <w:r>
        <w:rPr>
          <w:b/>
        </w:rPr>
        <w:t>E. 3.1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3.1.1</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du 24 octobre 2007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 146 IV 105 consid. 3.4.2; 144 IV 332 consid. 3.3.2).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3.1.2</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w:t>
      </w:r>
    </w:p>
    <w:p>
      <w:r>
        <w:rPr>
          <w:b/>
        </w:rPr>
        <w:t>E. 3.1.3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 ATF 149 I 207 consid. 5.3.1; 134 II 10 consid. 4.3; arrêt 6B_627/2024 du 8 octobre 2024 consid. 1.2.2).</w:t>
      </w:r>
    </w:p>
    <w:p>
      <w:r>
        <w:rPr>
          <w:b/>
        </w:rPr>
        <w:t>E. 3.1.4</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149 I 207 consid. 5.3.1;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w:t>
      </w:r>
    </w:p>
    <w:p>
      <w:r>
        <w:t>Dans la pesée des intérêts, il faut aussi tenir compte de l'intérêt supérieur de l'enfant et de son bien-être (art. 3 de la Convention du 20 novembre 1989 relative aux droits de l'enfant [CDE;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6B_514/2024 du 17 février 2025 consid. 3.4.2; 7B_1317/2024 du 11 février 2025 consid. 2.2.3; 6B_327/2024 du 11 décembre 2024 consid. 4.4).</w:t>
      </w:r>
    </w:p>
    <w:p>
      <w:r>
        <w:t>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6B_514/2024 précité consid. 3.4.2; 6B_327/2024 précité consid. 4.4).</w:t>
      </w:r>
    </w:p>
    <w:p>
      <w:r>
        <w:rPr>
          <w:b/>
        </w:rPr>
        <w:t>E. 3.2</w:t>
      </w:r>
    </w:p>
    <w:p>
      <w:r>
        <w:t>La cour cantonale a constaté que quand bien même l'intérêt de l'enfant mineur du recourant devait être pris en compte, il n'était pas suffisant, à lui seul, pour appliquer la clause de rigueur. La cour cantonale a en effet retenu que le fils du recourant, âgé de six ans, vivait avec sa mère, dont le recourant était séparé. Celui-ci n'avait pas établi son droit de visite sur son fils, se limitant à alléguer qu'il bénéficierait d'un droit de visite élargi. La cour cantonale a aussi relevé que le recourant louait une chambre, ce qui n'était pas adéquat pour accueillir son fils, notamment pour les nuits. Le recourant avait également expliqué ne pas s'acquitter de contributions d'entretien mais donner de l'argent à son fils en main propre et lui acheter des habits, sans encore une fois prouver ses dires. En ce qui concerne la situation familiale du recourant, la cour cantonale a retenu que ce dernier avait été condamné en 2020 pour lésions corporelles simples et menaces contre son épouse, mère de son fils, ce qui relativisait son droit à invoquer le respect de sa vie familiale. Malgré une dizaine d'années passées en Suisse, le recourant ne parlait pas bien le français. Certes, il travaillait. Il avait toutefois débuté son activité lucrative en Suisse illégalement et n'avait régularisé sa situation qu'en 2018. Il avait en outre des dettes pour plusieurs milliers de francs. Son casier judiciaire suisse comportait cinq condamnations, auxquelles venait s'ajouter la présente. Le recourant avait quitté le Kosovo à l'âge de vingt-six ans, parlait la langue de son pays d'origine et s'y rendait chaque année pendant deux semaines pour voir sa mère. Il avait deux frères et une soeur qui vivaient au Kosovo et avec qui il entretenait des contacts réguliers. Il ne rencontrerait ainsi pas de difficultés particulières à se réintégrer. Il ne démontrait pas de liens sociaux et professionnels spécialement intenses avec la Suisse qui permettraient de retenir l'existence d'un cas de rigueur, si ce n'est la présence sur le territoire de son enfant mineur, pour lequel il n'avait toutefois pas établi ses droits, ni ses obligations. Les conditions d'application de la clause de rigueur n'étaient donc pas réalisées et l'expulsion devait être confirmée, tout comme la durée minimale de cinq ans, ainsi que son inscription dans le SIS (cf. jugement entrepris, p. 18-19).</w:t>
      </w:r>
    </w:p>
    <w:p>
      <w:r>
        <w:t>À l'encontre de l'appréciation cantonale, le recourant se prévaut principalement du fait qu'il exerce une activité salariée et vit, de manière régulière, en Suisse depuis 2018. Il invoque également la présence de son enfant de six ans en Suisse. Il reproche à la cour cantonale d'avoir minimisé la portée des liens sociaux et professionnels, en particulier des liens qu'il entretient avec son enfant mineur et d'avoir ainsi fait fi de la protection de la vie privée et familiale, par le simple fait qu'il n'aurait pas produit d'éléments documentés dans ce sens. La cour cantonale n'aurait avancé aucun élément contraire figurant au dossier d'instruction attestant qu'il entretenait peu, voire pas du tout de liens avec son enfant mineur.</w:t>
      </w:r>
    </w:p>
    <w:p>
      <w:r>
        <w:rPr>
          <w:b/>
        </w:rPr>
        <w:t>E. 3.3</w:t>
      </w:r>
    </w:p>
    <w:p>
      <w:r>
        <w:t>En l'espèce, la question de savoir si une expulsion vers le Kosovo mettrait le recourant, né en 1986, dans une situation personnelle grave peut demeurer ouverte, la seconde condition de la clause de rigueur de l' art. 66a al. 2 CP n'étant de toute manière pas réalisée.</w:t>
      </w:r>
    </w:p>
    <w:p>
      <w:r>
        <w:t>S'agissant de l'intérêt du recourant à demeurer en Suisse, on doit relever la courte durée de sa présence régulière dans notre pays, à savoir sept ans. De surcroît, il y est arrivé à l'âge de vingt-six ans, soit à l'âge adulte. Bien qu'il travaille en Suisse de manière régulière depuis 2018, il ne parle pas bien le français. Il a des dettes. Ses possibilités de réintégration dans son pays d'origine, le Kosovo, ne sont pas moindres que son intégration actuelle en Suisse, laquelle reste limitée. Il ressort en effet du jugement attaqué que la mère ainsi que deux frères et une soeur du recourant vivent au Kosovo, que ce dernier s'y rend chaque année pour les vacances et qu'il en parle la langue.</w:t>
      </w:r>
    </w:p>
    <w:p>
      <w:r>
        <w:t>L'intégration du recourant en Suisse se limite en réalité à son fils de six ans, sur lequel il allègue exercer un droit de visite. La cour cantonale constate que le recourant n'a pas exposé, au cours de la procédure menée jusqu'alors, des circonstances propres à étayer cette allégation. Même à supposer, comme le soutient le recourant, qu'il disposerait d'un droit de visite sur son enfant, il convient de rappeler qu'il ne fait cependant pas ménage commun avec lui et qu'il n'en a pas non plus la garde, ce dernier vivant avec sa mère dont le recourant est séparé. L'expulsion n'empêchera du reste pas celui-ci d'entretenir un contact avec son fils par le biais des moyens modernes de communication, dans les limites de l'usage possible pour un enfant de cet âge. Dans ces conditions, il n'apparaît pas que l'expulsion du recourant mettrait en cause les intérêts de son fils dans une mesure incompatible avec la CDE, étant au demeurant rappelé que l' art. 3 CDE ne confère pas un droit de présence sur le territoire (cf. ATF 144 I 91 consid. 5.2; 140 I 145 consid. 3.2, arrêt 6B_952/2024 du 4 juin 2025 consid. 2.2.2).</w:t>
      </w:r>
    </w:p>
    <w:p>
      <w:r>
        <w:t>Quant à l'intérêt public à l'expulsion du recourant, il est conséquent. Le recourant est condamné pour tentative de vol, dommages à la propriété et violation de domicile à une peine privative de liberté ferme, l'autorité cantonale ayant qualifié sa culpabilité d'importante et considéré qu'il n'était pas possible de poser un pronostic favorable quant à son comportement futur, dès lors qu'il niait l'ensemble des faits et eu égard à ses antécédents. Concernant ces derniers, le recourant a fait l'objet de cinq condamnations pénales entre 2013 et 2020, auxquelles s'ajoute la nouvelle condamnation. Il a ainsi été condamné notamment en 2014 pour, entre autres, vol et violation de domicile et en 2020 pour lésions corporelles simples et menaces à l'égard de sa conjointe. Ces antécédents dénotent une absence manifeste de respect pour l'ordre juridique et les valeurs suisses.</w:t>
      </w:r>
    </w:p>
    <w:p>
      <w:r>
        <w:t>Dans ces conditions, en faisant primer l'intérêt public à l'éloignement du recourant sur son intérêt privé à demeurer en Suisse, la cour cantonale n'a pas violé le droit fédéral ou conventionnel. L'expulsion respecte en particulier le principe de la proportionnalité découlant des art. 5 al. 2 Cst. et 8 par. 2 CEDH.</w:t>
      </w:r>
    </w:p>
    <w:p>
      <w:r>
        <w:t>Pour le surplus, le recourant ne discute pas la durée de l'expulsion ordonnée pour cinq ans, laquelle représente, dans tous les cas, la durée minimale prévue à l' art. 66a al. 1 CP , ni l'inscription au SIS.</w:t>
      </w:r>
    </w:p>
    <w:p>
      <w:r>
        <w:t>Le grief s'avère ainsi infondé, dans la mesure où il est recevable.</w:t>
      </w:r>
    </w:p>
    <w:p>
      <w:r>
        <w:rPr>
          <w:b/>
        </w:rPr>
        <w:t>E. 4</w:t>
      </w:r>
    </w:p>
    <w:p>
      <w:r>
        <w:t>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