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6B_517/2019 vom 18. Juni 2019</w:t>
      </w:r>
    </w:p>
    <w:p>
      <w:r>
        <w:t>Bundesgericht, 2019-06-18, FR</w:t>
      </w:r>
    </w:p>
    <w:p>
      <w:r>
        <w:rPr>
          <w:b/>
        </w:rPr>
        <w:t xml:space="preserve">Quelle: </w:t>
      </w:r>
      <w:r>
        <w:t>https://mcp.opencaselaw.ch/entscheid/bger_6B_517_2019</w:t>
      </w:r>
    </w:p>
    <w:p>
      <w:r>
        <w:t>FR: TF 6B_517/2019 du 18 juin 2019</w:t>
      </w:r>
    </w:p>
    <w:p>
      <w:r>
        <w:t>IT: TF 6B_517/2019 del 18 giugno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L'écriture déposée le 11 juin 2019 est irrecevable, faute d'avoir été déposée dans le délai de recours ( art. 44 ss LTF ).</w:t>
      </w:r>
    </w:p>
    <w:p>
      <w:r>
        <w:rPr>
          <w:b/>
        </w:rPr>
        <w:t>E. 1.2</w:t>
      </w:r>
    </w:p>
    <w:p>
      <w:r>
        <w:t>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Les motifs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rPr>
          <w:b/>
        </w:rPr>
        <w:t>E. 1.3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le recourant soutient avoir été obligé de porter plainte contre "contre X du Service cantonal [des contributions du canton Jura]". Il demeure toutefois muet au sujet des prétentions qu'il entend déduire des infractions dénoncées. Quoi qu'il en soit, conformément à l'art. 63 de la Loi jurassienne sur le personnel de l'Etat (RS/JU 173.11), l'Etat du Jura répond du dommage causé sans droit à un tiers par un employé dans l'exercice de sa charge (al. 1), le lésé n'ayant aucune action contre l'employé (al. 2). Il s'ensuit qu'en l'occurrence, le recourant peut tout au plus faire valoir des prétentions de droit public. Or, conformément à la jurisprudence constante ( ATF 131 I 455 consid. 1.2.4 p. 461; cf. récemment arrêt 6B_540/2019 du 23 mai 2019 consid. 1.2), de telles prétentions ne sont pas assimilables aux prétentions civiles visées par l'art. 81 al. 1 let. b ch. 5 LTF. Le recourant n'a dès lors pas qualité pour recourir sous cet angle.</w:t>
      </w:r>
    </w:p>
    <w:p>
      <w:r>
        <w:rPr>
          <w:b/>
        </w:rPr>
        <w:t>E. 1.4</w:t>
      </w:r>
    </w:p>
    <w:p>
      <w:r>
        <w:t>L'hypothèse visée à l'art. 81 al. 1 let. b ch. 6 LTF n'entre pas non plus en considération, le recourant ne soulevant aucun grief recevable quant à son droit de porter plainte.</w:t>
      </w:r>
    </w:p>
    <w:p>
      <w:r>
        <w:rPr>
          <w:b/>
        </w:rPr>
        <w:t>E. 1.5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En l'espèce, le recourant ne présente aucun grief de cette nature et n'a donc pas non plus qualité pour recourir à ce titre.</w:t>
      </w:r>
    </w:p>
    <w:p>
      <w:r>
        <w:rPr>
          <w:b/>
        </w:rPr>
        <w:t>E. 1.6</w:t>
      </w:r>
    </w:p>
    <w:p>
      <w:r>
        <w:t>Il sied, par surabondance, de relever que le recourant se limite pour l'essentiel à reprendre le contenu de sa plainte et à réitérer ses accusations sans discuter, griefs topiques à l'appui, contrairement aux exigences de motivation ( art. 42 al. 2 LTF ), les motifs de la décision attaquée. Son recours est de surcroît dépourvu de conclusion.</w:t>
      </w:r>
    </w:p>
    <w:p>
      <w:r>
        <w:rPr>
          <w:b/>
        </w:rPr>
        <w:t>E. 2</w:t>
      </w:r>
    </w:p>
    <w:p>
      <w:r>
        <w:t>Au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