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517/2007 vom 30. September 2007</w:t>
      </w:r>
    </w:p>
    <w:p>
      <w:r>
        <w:t>Bundesgericht, 2007-09-30, DE</w:t>
      </w:r>
    </w:p>
    <w:p>
      <w:r>
        <w:rPr>
          <w:b/>
        </w:rPr>
        <w:t xml:space="preserve">Quelle: </w:t>
      </w:r>
      <w:r>
        <w:t>https://mcp.opencaselaw.ch/entscheid/bger_6B_517_2007</w:t>
      </w:r>
    </w:p>
    <w:p>
      <w:r>
        <w:t>FR: TF 6B 517/2007 du 30 septembre 2007</w:t>
      </w:r>
    </w:p>
    <w:p>
      <w:r>
        <w:t>IT: TF 6B 517/2007 del 30 settembre 2007</w:t>
      </w:r>
    </w:p>
    <w:p>
      <w:pPr>
        <w:pStyle w:val="Heading2"/>
      </w:pPr>
      <w:r>
        <w:t>Regeste</w:t>
      </w:r>
    </w:p>
    <w:p>
      <w:r>
        <w:t>Einstellung der Untersuchung | Strafrecht (allgemein)</w:t>
      </w:r>
    </w:p>
    <w:p>
      <w:pPr>
        <w:pStyle w:val="Heading2"/>
      </w:pPr>
      <w:r>
        <w:t>Erwägungen</w:t>
      </w:r>
    </w:p>
    <w:p>
      <w:r>
        <w:rPr>
          <w:b/>
        </w:rPr>
        <w:t>E. 1</w:t>
      </w:r>
    </w:p>
    <w:p>
      <w:r>
        <w:t>Die Beschwerde richtet sich dagegen, dass eine Strafuntersuchung betreffend Urkundenfälschung und Betrug in einer Erbsache eingestellt bzw. im angefochtenen Entscheid ein dagegen gerichteter Rekurs abgewiesen wurden, soweit darauf einzutreten war. Da die Staatsanwaltschaft am kantonalen Verfahren beteiligt war und deshalb kein Privatstrafklageverfahren im Sinne von Art. 81 Abs. 1 lit. b Ziff. 4 BGG vorliegt, ist die Beschwerdeführerin entgegen ihrer Annahme als angeblich Geschädigte zur Beschwerde in Strafsachen nicht legitimiert (BGE 6B_12/2007 vom 5. Juli 2007). Auf die Beschwerde ist im Verfahren nach Art. 108 BGG nicht einzutreten.</w:t>
      </w:r>
    </w:p>
    <w:p>
      <w:r>
        <w:rPr>
          <w:b/>
        </w:rPr>
        <w:t>E. 2</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