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6B_516/2014 vom 29. Januar 2015</w:t>
      </w:r>
    </w:p>
    <w:p>
      <w:r>
        <w:t>Bundesgericht, 2015-01-29, FR</w:t>
      </w:r>
    </w:p>
    <w:p>
      <w:r>
        <w:rPr>
          <w:b/>
        </w:rPr>
        <w:t xml:space="preserve">Quelle: </w:t>
      </w:r>
      <w:r>
        <w:t>https://mcp.opencaselaw.ch/entscheid/bger_6B_516_2014</w:t>
      </w:r>
    </w:p>
    <w:p>
      <w:r>
        <w:t>FR: TF 6B_516/2014 du 29 janvier 2015</w:t>
      </w:r>
    </w:p>
    <w:p>
      <w:r>
        <w:t>IT: TF 6B_516/2014 del 29 gennaio 2015</w:t>
      </w:r>
    </w:p>
    <w:p>
      <w:pPr>
        <w:pStyle w:val="Heading2"/>
      </w:pPr>
      <w:r>
        <w:t>Erwägungen</w:t>
      </w:r>
    </w:p>
    <w:p>
      <w:r>
        <w:rPr>
          <w:b/>
        </w:rPr>
        <w:t>E. 1</w:t>
      </w:r>
    </w:p>
    <w:p>
      <w:r>
        <w:t>Le recourant reproche à l'autorité cantonale d'avoir constaté de manière arbitraire les faits à l'origine de sa condamnation tant en ce qui concerne le nombre des personnes ayant frappé la victime que s'agissant de l'identité de celles-ci.</w:t>
      </w:r>
    </w:p>
    <w:p>
      <w:r>
        <w:t>La notion d'arbitraire a été rappelée récemment dans l' ATF 138 III 378 consid. 6.1 p. 379, auquel on peut se référer. En bref, une décision n'est pas arbitraire du seul fait qu'elle apparaît discutable ou même critiquable; il faut qu'elle soit manifestement insoutenable, et cela non seulement dans sa motivation mais aussi dans son résultat.</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6B_118/2009 du 20 décembre 2011 consid. 7.2.2 non publié à l' ATF 138 I 97 et les références citées).</w:t>
      </w:r>
    </w:p>
    <w:p>
      <w:r>
        <w:t>La recevabilité du grief d'arbitraire, ainsi que de tous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de nature appellatoire sont, en particulier, irrecevables (cf. ATF 137 II 353 consid. 5.1 p. 356).</w:t>
      </w:r>
    </w:p>
    <w:p>
      <w:r>
        <w:t>Le recourant soutient que sur la base des trois témoignages qu'elle a retenus, la cour cantonale ne pouvait pas sans arbitraire admettre que la victime a été frappée par plus de trois personnes ni qu'il faisait partie des personnes qui l'ont agressée.</w:t>
      </w:r>
    </w:p>
    <w:p>
      <w:r>
        <w:t>Le recourant a été reconnu coupable d'agression au sens de l' art. 134 CP . Conformément à cette disposition, se rend coupable de ladite infraction celui qui participe à une agression dirigée contre une ou plusieurs personnes au cours de laquelle l'une d'entre elles ou un tiers a trouvé la mort ou subi une lésion corporelle.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 ATF 135 IV 152 consid. 2.1.1 p. 153 s.).</w:t>
      </w:r>
    </w:p>
    <w:p>
      <w:r>
        <w:t>Le recourant reproche uniquement à la cour cantonale d'avoir considéré qu'il avait participé à l'agression en frappant la victime. Il ne remet pas en question, au moyen d'une argumentation satisfaisant aux exigences de l' art. 106 al. 2 LTF , le fait qu'il s'est trouvé, de manière intentionnelle, dans le groupe des agresseurs. Il ne conteste pas non plus que la victime a subi des lésions corporelles à la suite de l'agression commise par le groupe auquel il appartenait. Cela suffit pour que soient réalisés les éléments constitutifs de l'agression au sens de l' art. 134 CP . Peu importe que le recourant ait ou non lui-même frappé la victime. Dès lors les points invoqués par le recourant ne sont pas propres à faire apparaître la décision attaquée comme arbitraire dans son résultat. Mal fondé, ce grief doit être rejeté.</w:t>
      </w:r>
    </w:p>
    <w:p>
      <w:r>
        <w:rPr>
          <w:b/>
        </w:rPr>
        <w:t>E. 2</w:t>
      </w:r>
    </w:p>
    <w:p>
      <w:r>
        <w:t>Les autres griefs, tirés de la violation de la présomption d'innocence ainsi que du droit d'être entendu, se recoupent avec celui d'arbitraire et n'ont pas de portée propre.</w:t>
      </w:r>
    </w:p>
    <w:p>
      <w:r>
        <w:rPr>
          <w:b/>
        </w:rPr>
        <w:t>E. 3</w:t>
      </w:r>
    </w:p>
    <w:p>
      <w:r>
        <w:t>Le recours doit être rejeté. Comme les conclusions étaient vouées à l'échec, l'assistance judiciaire ne peut être accordée ( art. 64 al. 1 LTF ). Le recourant, qui succombe, supportera les frais de justice ( art. 66 al. 1 LTF ), dont le montant sera toutefois fixé en tenant compte de sa situation financière. L'intimé, qui obtient gain de cause, a droit à une indemnité de dépens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