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6B_515/2021 vom 2. November 2021</w:t>
      </w:r>
    </w:p>
    <w:p>
      <w:r>
        <w:t>Bundesgericht, 2021-11-02, DE</w:t>
      </w:r>
    </w:p>
    <w:p>
      <w:r>
        <w:rPr>
          <w:b/>
        </w:rPr>
        <w:t xml:space="preserve">Quelle: </w:t>
      </w:r>
      <w:r>
        <w:t>https://mcp.opencaselaw.ch/entscheid/bger_6B_515_2021</w:t>
      </w:r>
    </w:p>
    <w:p>
      <w:r>
        <w:t>FR: TF 6B_515/2021 du 2 novembre 2021</w:t>
      </w:r>
    </w:p>
    <w:p>
      <w:r>
        <w:t>IT: TF 6B_515/2021 del 2 novembre 2021</w:t>
      </w:r>
    </w:p>
    <w:p>
      <w:pPr>
        <w:pStyle w:val="Heading2"/>
      </w:pPr>
      <w:r>
        <w:t>Erwägungen</w:t>
      </w:r>
    </w:p>
    <w:p>
      <w:r>
        <w:rPr>
          <w:b/>
        </w:rPr>
        <w:t>E. 1.1</w:t>
      </w:r>
    </w:p>
    <w:p>
      <w:r>
        <w:t>Gemäss Art. 81 Abs. 1 lit. b Ziff. 5 BGG ist der Privatkläger zur Beschwerde in Strafsachen nur berechtigt, wenn der angefochtene Entscheid sich auf die Beurteilung seiner Zivilansprüche auswirken kann. Richtet sich die Beschwerde gegen die Einstellung oder Nichtanhandnahme eines Verfahrens, hat der Privatkläger nicht notwendigerweise bereits vor den kantonalen Behörden eine Zivilforderung geltend gemacht. Indessen muss er in jedem Fall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t>Nach Art. 49 OR ist eine Genugtuung nur geschuldet, sofern die Schwere der Verletzung dies rechtfertigt. Der Eingriff muss aussergewöhnlich schwer sein und in seinen Auswirkungen das Mass einer Aufregung oder einer alltäglichen Sorge klar übersteigen (Urteile 6B_1105/2021 vom 11. Oktober 2021 E. 3; 6B_559/2021 vom 29. Juni 2021 E. 1.4; 6B_326/2021 vom 19. April 2021 E. 2.1; je mit Hinweisen). Leichte Persönlichkeitsverletzungen, wie beispielsweise unbedeutende Ehrverletzungen, rechtfertigen keine finanzielle Genugtuung (vgl. BGE 129 III 715 E. 4.4.). Inwiefern die Persönlichkeitsverletzung objektiv und subjektiv schwer wiegt, ist in der Beschwerde an das Bundesgericht darzulegen (Urteile 6B_559/2021 vom 29. Juni 2021 E. 1.4; 6B_736/2020 vom 28. Mai 2021 E. 1.2; je mit Hinweisen).</w:t>
      </w:r>
    </w:p>
    <w:p>
      <w:r>
        <w:rPr>
          <w:b/>
        </w:rPr>
        <w:t>E. 1.2</w:t>
      </w:r>
    </w:p>
    <w:p>
      <w:r>
        <w:t>Der Beschwerdeführer weist darauf hin, er fühle sich durch die Rechtsprechung des Kantons St. Gallen tief verletzt. Damit legt er nicht hinreichend dar, aus welchen Gründen sich der angefochtene Entscheid inwiefern auf welche Zivilforderung auswirken kann. Dass er eine genugtuungsbegründende Persönlichkeitsverletzung erlitten hat, zeigt der Beschwerdeführer nicht auf und ist angesichts des angezeigten Sachverhalts auch nicht ohne Weiteres ersichtlich. Ferner äussert sich der Beschwerdeführer nicht dazu, dass und weshalb allfällige Ansprüche gegen den beschuldigten Sachverständigen zivilrechtlicher Natur sein sollen. Der beschuldigte Sachverständige wurde bei seiner Tätigkeit als Ersteller des von der kantonalen IV-Stelle in Auftrag gegebenen medizinischen Gutachtens mit einer öffentlich-rechtlichen Aufgabe betraut und hatte damit eine beamtenähnliche Stellung inne (vgl. BGE 135 IV 198 E. 3.3; Urteile 6B_151/2020 vom 23. April 2020 E. 5; 1C_614/2015 vom 5. Februar 2016 E. 3.1; je mit Hinweisen; siehe auch Urteil 1C_506/2019 vom 28. Februar 2020 E. 2). Privatrechtliche Auswirkungen aufgrund des Vorwurfs und des Adressaten der Strafanzeige ergeben sich insofern nicht ohne Weiteres aus den Akten und der Beschwerdeführer äussert sich nicht dazu, inwiefern von einer zivil- und nicht öffentlich-rechtlichen Natur allfälliger Ansprüche auszugehen wäre. Auf die Beschwerde kann mangels hinreichender Begründung der Legitimation nicht eingetreten werden.</w:t>
      </w:r>
    </w:p>
    <w:p>
      <w:r>
        <w:rPr>
          <w:b/>
        </w:rPr>
        <w:t>E. 2</w:t>
      </w:r>
    </w:p>
    <w:p>
      <w:r>
        <w:t>Formelle Rügen, zu deren Geltendmachung der Beschwerdeführer unbesehen der fehlenden Legitimation in der Sache befugt wäre (sog. "Star-Praxis"; vgl. BGE 141 IV 1 E. 1.1 S. 5 mit Hinweisen), erhebt er nicht.</w:t>
      </w:r>
    </w:p>
    <w:p>
      <w:r>
        <w:rPr>
          <w:b/>
        </w:rPr>
        <w:t>E. 3</w:t>
      </w:r>
    </w:p>
    <w:p>
      <w:r>
        <w:t>Auf die Beschwerde ist im Verfahren gemäss Art. 109 BGG nicht einzutreten. Ausgangsgemäss hat der Beschwerdeführer die Gerichtskosten zu tragen ( Art. 66 Abs. 1 BGG ). Dem Beschwerdegegner 2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