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6B_514/2017 vom 18. Mai 2017</w:t>
      </w:r>
    </w:p>
    <w:p>
      <w:r>
        <w:t>Bundesgericht, 2017-05-18, DE</w:t>
      </w:r>
    </w:p>
    <w:p>
      <w:r>
        <w:rPr>
          <w:b/>
        </w:rPr>
        <w:t xml:space="preserve">Quelle: </w:t>
      </w:r>
      <w:r>
        <w:t>https://mcp.opencaselaw.ch/entscheid/bger_6B_514_2017</w:t>
      </w:r>
    </w:p>
    <w:p>
      <w:r>
        <w:t>FR: TF 6B_514/2017 du 18 mai 2017</w:t>
      </w:r>
    </w:p>
    <w:p>
      <w:r>
        <w:t>IT: TF 6B_514/2017 del 18 maggio 2017</w:t>
      </w:r>
    </w:p>
    <w:p>
      <w:pPr>
        <w:pStyle w:val="Heading2"/>
      </w:pPr>
      <w:r>
        <w:t>Erwägungen</w:t>
      </w:r>
    </w:p>
    <w:p>
      <w:r>
        <w:rPr>
          <w:b/>
        </w:rPr>
        <w:t>E. 1</w:t>
      </w:r>
    </w:p>
    <w:p>
      <w:r>
        <w:t>Am 15. April 2016 erstattete der Beschwerdeführer Strafanzeige gegen den Regierungspräsidenten des Kantons Bern wegen Unterschlagung von Beweismitteln. Die kantonale Staatsanwaltschaft für besondere Aufgaben nahm das Verfahren am 9. Dezember 2016 nicht an die Hand. Eine dagegen gerichtete Beschwerde wies das Obergericht des Kantons Bern am 23. März 2017 ab, soweit es darauf eintrat.</w:t>
      </w:r>
    </w:p>
    <w:p>
      <w:r>
        <w:t>Der Beschwerdeführer wendet sich mit "Einsprache" vom 29. März 2017 an das Bundesgericht.</w:t>
      </w:r>
    </w:p>
    <w:p>
      <w:r>
        <w:rPr>
          <w:b/>
        </w:rPr>
        <w:t>E. 2</w:t>
      </w:r>
    </w:p>
    <w:p>
      <w:r>
        <w:t>Gemäss Art. 81 Abs. 1 lit b Ziff. 5 BGG ist der Privatkläger zur Beschwerde in Strafsachen nur berechtigt, wenn der angefochtene Entscheid sich auf die Beurteilung seiner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Urteil 6B_1302/2016 vom 1. März 2017 E. 2 mit Hinweis).</w:t>
      </w:r>
    </w:p>
    <w:p>
      <w:r>
        <w:rPr>
          <w:b/>
        </w:rPr>
        <w:t>E. 3</w:t>
      </w:r>
    </w:p>
    <w:p>
      <w:r>
        <w:t>In Bern haftet der Kanton für den Schaden, den seine Organe bei der Ausübung ihrer hoheitlichen Tätigkeiten widerrechtlich verursachen (Art. 71 Abs. 1 der Verfassung des Kantons Bern vom 6. Juni 1993). Gemäss Art. 100 Abs. 1 des Personalgesetzes vom 16. September 2004 (BSG 153.01) haftet der Staat für den Schaden, den Mitarbeiterinnen und Mitarbeiter in Ausübung ihrer amtlichen Tätigkeit Dritten widerrechtlich zugefügt haben. Eine persönliche Haftung ist ausgeschlossen (Art. 102 Abs. 1).</w:t>
      </w:r>
    </w:p>
    <w:p>
      <w:r>
        <w:rPr>
          <w:b/>
        </w:rPr>
        <w:t>E. 4</w:t>
      </w:r>
    </w:p>
    <w:p>
      <w:r>
        <w:t>Der vom Beschwerdeführer gegen den Regierungspräsidenten des Kantons Bern erhobene strafrechtliche Vorwurf kann sich damit allenfalls auf seine Staatshaftungsansprüche, nicht aber auf Zivilansprüche im Sinne von Art. 81 Abs. 1 lit. b Ziff. 5 BGG auswirken. Insofern ist der Beschwerdeführer zum vorliegenden Rechtsmittel nicht legitimiert. Schon deshalb ist auf die Beschwerde nicht einzutreten. Im Übrigen ergibt sich daraus auch nicht, inwiefern der angefochtene Beschluss gegen das Recht im Sinne von Art. 95 BGG verstossen könnte. Der Beschwerdeführer unterlässt es, sich mit der Begründung des Obergerichts auseinanderzusetzen. Seinen Ausführungen lässt sich nicht entnehmen, inwiefern die Begründung des Obergerichts bzw. dessen Entscheid selbst im Ergebnis rechts- bzw. verfassungswidrig sein soll ( Art. 42 und Art. 106 BGG ). Blosse Behauptungen von Verfassungsverletzungen genügen nicht. Auf die Beschwerde kann im Verfahren nach Art. 108 BGG nicht eingetreten werden.</w:t>
      </w:r>
    </w:p>
    <w:p>
      <w:r>
        <w:rPr>
          <w:b/>
        </w:rPr>
        <w:t>E. 5</w:t>
      </w:r>
    </w:p>
    <w:p>
      <w:r>
        <w:t>Bei diesem Ausgang des Verfahrens trägt der Beschwerdeführer die Gerichtskosten ( Art. 66 Abs. 1 BGG ). Das nachträglich gestellte Gesuch um unentgeltliche Rechtspflege ist infolge Aussichtslosigkeit der Rechtsbegehren abzuweisen ( Art. 64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