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6B_511/2022 vom 4. Juli 2022</w:t>
      </w:r>
    </w:p>
    <w:p>
      <w:r>
        <w:t>Bundesgericht, 2022-07-04, DE</w:t>
      </w:r>
    </w:p>
    <w:p>
      <w:r>
        <w:rPr>
          <w:b/>
        </w:rPr>
        <w:t xml:space="preserve">Quelle: </w:t>
      </w:r>
      <w:r>
        <w:t>https://mcp.opencaselaw.ch/entscheid/bger_6B_511_2022</w:t>
      </w:r>
    </w:p>
    <w:p>
      <w:r>
        <w:t>FR: TF 6B_511/2022 du 4 juillet 2022</w:t>
      </w:r>
    </w:p>
    <w:p>
      <w:r>
        <w:t>IT: TF 6B_511/2022 del 4 luglio 2022</w:t>
      </w:r>
    </w:p>
    <w:p>
      <w:pPr>
        <w:pStyle w:val="Heading2"/>
      </w:pPr>
      <w:r>
        <w:t>Erwägungen</w:t>
      </w:r>
    </w:p>
    <w:p>
      <w:r>
        <w:rPr>
          <w:b/>
        </w:rPr>
        <w:t>E. 1</w:t>
      </w:r>
    </w:p>
    <w:p>
      <w:r>
        <w:t>Die Vorinstanz trat am 8. April 2022 auf eine Beschwerde nicht ein, weil sie den Begründungsanforderungen von Art. 396 Abs. 1 und Art. 385 Abs. 1 StPO nicht genügte und der Beschwerdeführer auch innert der ihm angesetzten Nachfrist keine den gesetzlichen Anforderungen genügende Beschwerdeschrift einreichte ( Art. 385 Abs. 2 StPO ). Der Beschwerdeführer wendet sich am 19. April 2022 mit Beschwerde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Anfechtungsobjekt der vorliegenden Beschwerde bildet einzig die vorinstanzliche Verfügung vom 8. April 2022. Vor Bundesgericht kann es folglich nur um die Frage gehen, ob die kantonale Beschwerdeeingabe den gesetzlichen Begründungsanforderungen genügte und ob die Vorinstanz darauf zu Unrecht nicht eingetreten ist. Der Beschwerdeführer setzt sich damit sowie mit den Anforderungen von Art. 385 StPO an die Beschwerdebegründung nicht im Ansatz auseinander. Stattdessen äussert er sich zu Einzelgutachten, polydisziplinären Gutachten, zur Bearbeitungsdauer für eine Gutachtenerstellung, zum IV-Grad und zur Einschränkung der Arbeitsfähigkeit. Aus der Beschwerde ergibt sich mithin nicht, dass und inwiefern die vorinstanzliche Nichteintretensverfügung verfassungs- bzw. rechtswidrig sein könnte. Der Begründungsmangel ist offensichtlich ( Art. 42 Abs. 2 BGG ). Auf die Beschwerde ist im Verfahren nach Art. 108 BGG nicht einzutreten.</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