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510/2020 vom 15. September 2020</w:t>
      </w:r>
    </w:p>
    <w:p>
      <w:r>
        <w:t>Bundesgericht, 2020-09-15, FR</w:t>
      </w:r>
    </w:p>
    <w:p>
      <w:r>
        <w:rPr>
          <w:b/>
        </w:rPr>
        <w:t xml:space="preserve">Quelle: </w:t>
      </w:r>
      <w:r>
        <w:t>https://mcp.opencaselaw.ch/entscheid/bger_6B_510_2020</w:t>
      </w:r>
    </w:p>
    <w:p>
      <w:r>
        <w:t>FR: TF 6B 510/2020 du 15 septembre 2020</w:t>
      </w:r>
    </w:p>
    <w:p>
      <w:r>
        <w:t>IT: TF 6B 510/2020 del 15 settembre 2020</w:t>
      </w:r>
    </w:p>
    <w:p>
      <w:pPr>
        <w:pStyle w:val="Heading2"/>
      </w:pPr>
      <w:r>
        <w:t>Regeste</w:t>
      </w:r>
    </w:p>
    <w:p>
      <w:r>
        <w:t>Ordonnance de non-entrée en matière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Le recour antexpose avoir subi un dommage financier de par l'inscription provisoire de l'hypothèque légale des artisans et des entrepreneurs sur son bien immobilier. La banque créancière ne lui aurait accordé aucune augmentation du crédit hypothécaire en raison de cette inscription, retardant ainsi de 15 mois l'avancement des travaux encore indispensables pour rendre le bien habitable. Il entendait dès lors faire valoir, d'une part, le montant du loyer de l'appartement loué par sa compagne, soit 1'855 fr. par mois, plus 20 fr. 75 de frais de garantie de loyer sans dépôt bancaire, ce qui représenterait un dommage d'environ 28'500 fr. pour la période comprise entre juin 2017 et septembre 2018. D'autre part, il entendait prétendre au remboursement des frais de notaire engendrés par la rédaction du dépôt d'un séquestre et du contrat y afférent, soit 5'488 fr. 50, démarche nécessaire afin de "débloquer la situation" et ayant permis d'obtenir la radiation de l'hypothèque légale en mai 2018. Il invoque par ailleurs la réserve de ses "autres prétentions", notamment "sur la perte de valeur du montant de 115'000 fr." séquestrés depuis deux ans. La question de la qualité pour recourir du recourant sur le fond de la cause peut rester ouverte, compte tenu de l'issue du recours (infra, consid. 3).</w:t>
      </w:r>
    </w:p>
    <w:p>
      <w:r>
        <w:rPr>
          <w:b/>
        </w:rPr>
        <w:t>E. 2.1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Le recourant se plaint d'une violation de l' art. 385 CPP . Il prétend qu'il ressortirait de l'arrêt attaqué que son mémoire ne satisfaisait manifestement pas aux exigences de motivation de l' art. 385 al. 1 CPP , de sorte qu'il aurait dû être invité à le compléter, n'étant alors pas assisté d'un avocat. La violation de l' art. 385 al. 2 CPP devrait conduire à l'annulation de l'arrêt entrepris, sous peine de le priver d'une voie de droit. De la sorte, il présente un grief d'ordre formel, se plaignant de la violation de ses droits de partie. Il a, en ce sens, qualité pour former un recours en matière pénale au Tribunal fédéral.</w:t>
      </w:r>
    </w:p>
    <w:p>
      <w:r>
        <w:rPr>
          <w:b/>
        </w:rPr>
        <w:t>E. 2.2</w:t>
      </w:r>
    </w:p>
    <w:p>
      <w:r>
        <w:t>L' 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(arrêts 1B_472/2019 du 29 octobre 2019 consid. 3.1; 6B_120/2016 du 20 juin 2016 consid. 3.1). Selon l' art. 385 al. 2 CPP ,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un défaut de motivation dans le mémoire en question (arrêt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 art. 385 al. 2 CPP ne devant pas être appliqué afin de détourner la portée de l' art. 89 al. 1 CPP qui interdit la prolongation des délais fixés par la loi (arrêts 1B_232/2017 du 19 juillet 2017 consid. 2.4.3; 1B_113/2017 du 19 juin 2017 consid. 2.4.3; 6B_120/2016 du 20 juin 2016 consid. 3.1).</w:t>
      </w:r>
    </w:p>
    <w:p>
      <w:r>
        <w:rPr>
          <w:b/>
        </w:rPr>
        <w:t>E. 2.3</w:t>
      </w:r>
    </w:p>
    <w:p>
      <w:r>
        <w:t>La cour cantonale a certes retenu que l'argumentation du recourant était peu claire et essentiellement centrée sur l'aspect civil du litige. Elle a néanmoins exposé les critiques de celui-ci sur plus d'une demi-page (cf. arrêt entrepris, p. 4 s.). Puis, au terme de l'appréciation des preuves, elle a retenu, en résumé, que selon l'expertise hors procès, les travaux n'étaient pas terminés et qu'il ressortait de l'ordonnance de mesures provisionnelles du 16 octobre 2017 que le recourant avait lui-même produit un document laissant apparaître que la fin des travaux était envisagée pour décembre 2017 à janvier 2018. En outre, une photographie datée, selon le recourant, du 3 octobre 2017 révélait que le chalet était encore en chantier. En définitive, il était très douteux que le devis litigieux puisse être qualifié de titre et, de toute manière, il n'y avait aucun indice concret et suffisant permettant de supposer que celui-ci puisse porter sur des éléments ne correspondant pas à la réalité. En tout état, ce document n'avait pas pu avoir, dans le procès en inscription d'une hypothèque légale, la portée que lui prêtait le recourant puisque la date de la fin des travaux avait été prouvée par d'autres éléments. Les conditions de l'infraction de faux dans les titres n'étaient dès lors manifestement pas réunies. Il ressort des développements qui précédent que la cour cantonale est bel et bien entrée en matière sur les contestations soulevées par le recourant, malgré les termes utilisés ("le recours, manifestement mal fondé, doit être rejeté dans la mesure de sa recevabilité [ art. 385 al. 1 CPP ], compte tenu de sa motivation insuffisante"; cf. arrêt entrepris, p. 11). Dans cette mesure, l' art. 385 al. 2 CPP ne trouvait pas application. Infondé, le grief tiré d'une violation de cette disposition doit être rejeté.</w:t>
      </w:r>
    </w:p>
    <w:p>
      <w:r>
        <w:rPr>
          <w:b/>
        </w:rPr>
        <w:t>E. 3</w:t>
      </w:r>
    </w:p>
    <w:p>
      <w:r>
        <w:t>Le recourant reproche à la cour cantonale d'avoir établi les faits de manière lacunaire, partant arbitraire. Il se plaint à cet égard d'une violation de l' art. 310 CPP en lien avec l' art. 146 CP .</w:t>
      </w:r>
    </w:p>
    <w:p>
      <w:r>
        <w:rPr>
          <w:b/>
        </w:rPr>
        <w:t>E. 3.1</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 si l'autorité précédente a arbitrairement jugé la situation probatoire claire ou a admis arbitrairement que certains faits étaient clairement établis ( ATF 143 IV 241 consid. 2.3.2 p. 244 s.).</w:t>
      </w:r>
    </w:p>
    <w:p>
      <w:r>
        <w:rPr>
          <w:b/>
        </w:rPr>
        <w:t>E. 3.2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p. 69).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3.3</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procès est un cas particulier de l'escroquerie au sens de l' art. 146 CP . Elle consiste à tromper astucieusement le juge aux fins de le déterminer à rendre une décision (matériellement fausse) préjudiciable au patrimoine de la partie adverse ou d'un tiers ( ATF 122 IV 197 consid. 2; arrêt 6B_751/2018 du 2 octobre 2019 consid. 1.4.3). Dans ce contexte également, l'auteur doit agir avec l'intention d'obtenir un avantage indu et cette condition n'est pas réalisée lorsqu'il a, ou croit avoir, droit au paiement du montant qu'il réclame (arrêts 6B_1022/2019 du 30 octobre 2019 consid. 3.2; 6B_1005/2013 du 10 février 2014 consid. 5.1).</w:t>
      </w:r>
    </w:p>
    <w:p>
      <w:r>
        <w:rPr>
          <w:b/>
        </w:rPr>
        <w:t>E. 3.4</w:t>
      </w:r>
    </w:p>
    <w:p>
      <w:r>
        <w:t>Le recourant soutient que le comportement adopté par B.________ dans le cadre de la procédure civile, encore en cours, pourrait remplir les conditions d'une escroquerie au procès. Il soutient que B.________, en vue d'obtenir l'inscription de l'hypothèque légale des artisans et entrepreneurs, aurait créé, plus de trois ans après la fin des travaux de celui-ci, un devis estimatif daté du 5 décembre 2016 et portant sur 44'843 fr., pour des travaux ni exécutés ni commandés. Ce devis aurait eu pour seul but de lui permettre de se prévaloir du délai de l' art. 839 al. 2 CC et d'obtenir un montant plus important, puisque l'hypothèque légale inscrite tient compte des travaux devisés. A cet égard, la cour cantonale aurait omis de prendre en compte des faits pertinents ressortant de la requête en inscription provisoire de l'hypothèque légale des artisans et entrepreneurs de B.________ du 7 mars 2020 et de l'ordonnance rendue par le président du Tribunal civil le 16 octobre 2017. B.________ aurait produit le devis estimatif à l'appui de ses allégués, lequel aurait eu un rôle déterminant dans la décision du juge civil. La cour cantonale n'a pas omis de prendre en compte les éléments mis en exergue par le recourant. Elle a toutefois constaté que le devis du 5 décembre 2016 n'avait pas pu avoir, dans le procès en inscription d'une hypothèque légale, la portée que lui prêtait le recourant puisque la date de la fin des travaux avait été prouvée par d'autres éléments, ce qui ressortait de l'expertise hors procès, de l'ordonnance de mesures de mesures provisionnelles du 16 octobre 2017, ainsi que d'un document et une photographie produits par le recourant dans ce cadre (supra, consid. 2.3). Or, le recourant ne démontre pas qu'il était arbitraire, pour la cour cantonale, de retenir qu'il était clairement établi que le devis litigieux n'avait pas été décisif dans le procès civil. S'agissant du montant de 44'843 fr., que le juge civil a en effet inclus dans l'hypothèque légale, la cour cantonale a constaté que le devis litigieux ne constituait qu'une simple offre spontanée à laquelle aucune suite n'avait été donnée par les parties (cf. arrêt entrepris, p. 9), ce que le recourant ne conteste d'ailleurs pas. En d'autres termes, B.________ a simplement chiffré les travaux dont il proposait l'exécution. Dans cette mesure, il ne pouvait y avoir de tromperie. Cela permet d'exclure la réalisation de l' art. 146 CP . En définitive, on ne voit pas en quoi le comportement de B.________ serait susceptible d'être constitutif d'une escroquerie au sens de l' art. 146 CP . Infondés, les griefs du recourant sont rejetés, dans la mesure de leur recevabilité.</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