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510/2018 vom 31. Juli 2018</w:t>
      </w:r>
    </w:p>
    <w:p>
      <w:r>
        <w:t>Bundesgericht, 2018-07-31, FR</w:t>
      </w:r>
    </w:p>
    <w:p>
      <w:r>
        <w:rPr>
          <w:b/>
        </w:rPr>
        <w:t xml:space="preserve">Quelle: </w:t>
      </w:r>
      <w:r>
        <w:t>https://mcp.opencaselaw.ch/entscheid/bger_6B_510_2018</w:t>
      </w:r>
    </w:p>
    <w:p>
      <w:r>
        <w:t>FR: TF 6B 510/2018 du 31 juillet 2018</w:t>
      </w:r>
    </w:p>
    <w:p>
      <w:r>
        <w:t>IT: TF 6B 510/2018 del 31 luglio 2018</w:t>
      </w:r>
    </w:p>
    <w:p>
      <w:pPr>
        <w:pStyle w:val="Heading2"/>
      </w:pPr>
      <w:r>
        <w:t>Regeste</w:t>
      </w:r>
    </w:p>
    <w:p>
      <w:r>
        <w:t>Recevabilité du recours ; droit d'être entendu ; changement de mesure | Procédure pénale</w:t>
      </w:r>
    </w:p>
    <w:p>
      <w:pPr>
        <w:pStyle w:val="Heading2"/>
      </w:pPr>
      <w:r>
        <w:t>Erwägungen</w:t>
      </w:r>
    </w:p>
    <w:p>
      <w:r>
        <w:rPr>
          <w:b/>
        </w:rPr>
        <w:t>E. 1</w:t>
      </w:r>
    </w:p>
    <w:p>
      <w:r>
        <w:t>Le recourant reproche à la cour cantonale d'avoir violé les art. 391 al. 1 et 393 al. 2 CPP, ainsi que le principe "iura novit curia", en déclarant irrecevable son écriture complémentaire du 9 mars 2018 - adressée à l'autorité précédente postérieurement à l'échéance du délai de recours - et en s'abstenant d'examiner les arguments qui y étaient développés. Selon la jurisprudence, la motivation d'un acte de recours doit être entièrement contenue dans l'acte de recours lui-même et ne saurait être complétée ou corrigée ultérieurement (cf. arrêts 6B_260/2018 du 15 mars 2018 consid. 5.2 et la référence citée; 6B_347/2016 du 10 février 2017 consid. 4.1; 6B_207/2014 du 2 février 2015 consid. 5.3; cf. ATF 134 II 244 consid. 2.4.2 et 2.4.3 p. 247 s.). Le recourant n'expose pas pour quels motifs la cour cantonale aurait dû s'écarter de ces principes afin de lui permettre de compléter, après l'échéance du délai de recours prévu à l' art. 396 al. 1 CPP , son mémoire de recours du 26 février 2018. Au demeurant, l'intéressé indique que, dans l'écriture déposée hors délai devant l'autorité précédente, il aurait uniquement fait porter son argumentation sur les principes développés dans un arrêt de la Cour européenne des droits de l'Homme Kadusic c. Suisse du 9 janvier 2018 (requête no 43977/13). Or, compte tenu de la date de cette décision, on ne voit pas en quoi le recourant, qui était assisté par un avocat dans le cadre de la procédure de recours, aurait été empêché de s'y référer dans son écriture du 26 février 2018. Enfin, la cour cantonale a, dans l'arrêt attaqué, examiné les conditions d'application de l' art. 65 CP , disposition à laquelle le recourant entend appliquer la jurisprudence de la Cour européenne des droits de l'Homme dont il se prévaut. On ne perçoit pas, partant, en quoi le principe "iura novit curia" aurait pu être violé, étant rappelé que le recourant peut, dans le cadre du présent recours en matière pénale, critiquer devant le Tribunal fédéral l'application du droit fédéral par la cour cantonale (cf. art. 95 let. a LTF ). Il découle de ce qui précède que le grief doit être rejeté.</w:t>
      </w:r>
    </w:p>
    <w:p>
      <w:r>
        <w:rPr>
          <w:b/>
        </w:rPr>
        <w:t>E. 2</w:t>
      </w:r>
    </w:p>
    <w:p>
      <w:r>
        <w:t>Le recourant fait grief à l'autorité précédente d'avoir violé son droit d'être entendu concernant le maintien de sa détention pour des motifs de sûreté. La détention pour des motifs de sûreté relève de la compétence de la Première Cour de droit public du Tribunal fédéral (cf. art. 29 al. 3 du règlement du Tribunal fédéral [RTF; RS 173.110.131]). Il est néanmoins expédient de statuer dans le cadre du présent recours, seul un vice formel étant pris en compte, sans examen des conditions spécifiques à la détention pour des motifs de sûreté.</w:t>
      </w:r>
    </w:p>
    <w:p>
      <w:r>
        <w:rPr>
          <w:b/>
        </w:rPr>
        <w:t>E. 2.1</w:t>
      </w:r>
    </w:p>
    <w:p>
      <w:r>
        <w:t>Le recourant affirme tout d'abord que le jugement de première instance n'aurait compris aucune motivation concernant son maintien en détention pour des motifs de sûreté, de sorte qu'il ne lui aurait pas été possible de s'y opposer dans le cadre de la procédure de recours. Dirigé contre le jugement de première instance, ce grief est irrecevable (cf. art. 80 al. 1 LTF ). Dans son recours du 26 février 2018, le recourant a contesté son maintien en détention pour des motifs de sûreté sous l'angle de la proportionnalité, tout en contestant par ailleurs l'existence d'un risque de récidive (cf. pièce 35/1 du dossier cantonal, p. 8 ss). La cour cantonale a pour sa part également fondé le maintien de l'intéressé en détention pour des motifs de sûreté sur le risque que celui-ci compromette sérieusement la sécurité d'autrui par des crimes ou des délits graves après avoir déjà commis des infractions du même genre (cf. art. 221 al. 1 let . c CPP). Le recourant ne remet pas en cause cette motivation. Il n'y a pas, partant, lieu d'examiner cet aspect plus avant.</w:t>
      </w:r>
    </w:p>
    <w:p>
      <w:r>
        <w:rPr>
          <w:b/>
        </w:rPr>
        <w:t>E. 2.2</w:t>
      </w:r>
    </w:p>
    <w:p>
      <w:r>
        <w:t>Le recourant soutient ensuite que son droit d'être entendu aurait été violé dans la mesure où le tribunal de première instance a, dans le jugement du 15 février 2018, ordonné son maintien en détention pour des motifs de sûreté sans lui avoir préalablement donné l'occasion de s'exprimer sur cette question. Selon le recourant, la cour cantonale n'aurait quant à elle pas pu réparer ce vice en examinant pour la première fois ses arguments à cet égard.</w:t>
      </w:r>
    </w:p>
    <w:p>
      <w:r>
        <w:rPr>
          <w:b/>
        </w:rPr>
        <w:t>E. 2.2.1</w:t>
      </w:r>
    </w:p>
    <w:p>
      <w:r>
        <w:t>Le droit d'être d'entendu découlant des art. 29 al. 2 Cst. , 3 al. 2 let. c et 107 CPP comprend le droit, pour le justiciable, de s'exprimer sur les éléments pertinents avant qu'une décision ne soit prise touchant sa situation juridique ( ATF 142 II 218 consid. 2.3 p. 222; 136 I 184 consid. 2.2.1 p. 188). Tel est également le cas dans le cadre des procédures de détention provisoire ou pour des motifs de sûreté (cf. art. 31 al. 4 Cst. et 5 par. 4 CEDH; ATF 137 IV 87 consid. 3.3.2 p. 91 s.; 126 I 172 consid. 3c p. 175 s.; arrêt 1B_165/2017 du 19 mai 2017 consid. 4.1). Devant le tribunal des mesures de contrainte, cela découle en particulier des art. 225, 227 al. 3, 228 al. 3 et des renvois des art. 229 al. 3 et 230 al. 5 CPP. Il n'en va pas différemment lorsque cette procédure - que ce soit en vue d'un placement en détention ou d'un maintien de cette mesure - est menée par le tribunal de première instance en application de l' art. 231 al. 1 CPP . Le prévenu doit avoir l'opportunité de se déterminer sur cette question préalablement à la décision y relative (arrêt 1B_165/2017 précité consid. 4.1 et les références citées).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p. 226; 137 I 195 consid. 2.3.2 p. 197 s.; 135 I 279 consid. 2.6.1 p. 285; arrêt 6B_290/2017 du 27 novembre 2017 consid. 2.4).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137 I 195 consid. 2.3.2 p. 197 s.; 136 V 117 consid. 4.2.2.2 p. 126 s.; arrêt 6B_323/2017 du 26 février 2018 consid. 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w:t>
      </w:r>
    </w:p>
    <w:p>
      <w:r>
        <w:rPr>
          <w:b/>
        </w:rPr>
        <w:t>E. 2.2.2</w:t>
      </w:r>
    </w:p>
    <w:p>
      <w:r>
        <w:t>La cour cantonale a exposé que le recourant n'avait pas été invité, par le tribunal de première instance, à se déterminer sur son maintien en détention pour des motifs de sûreté préalablement au jugement du 15 février 2018. La décision de maintenir l'intéressé en détention avait ainsi été affectée d'un vice formel. Selon l'autorité précédente, ce vice était toutefois réparé dès lors que le recourant avait pu faire part de ses déterminations concernant sa détention pour des motifs de sûreté dans le cadre de la procédure de recours. De surcroît, il n'existait aucun non-respect des délais en la matière, susceptible d'entraîner l'élargissement du recourant.</w:t>
      </w:r>
    </w:p>
    <w:p>
      <w:r>
        <w:rPr>
          <w:b/>
        </w:rPr>
        <w:t>E. 2.2.3</w:t>
      </w:r>
    </w:p>
    <w:p>
      <w:r>
        <w:t>En l'espèce, on peut se demander dans quelle mesure le tribunal de première instance aurait dû inviter expressément le recourant à se déterminer sur la question de son maintien en détention pour des motifs de sûreté. En effet, il ressort de l'arrêt attaqué que, dans son ordonnance du 2 novembre 2017, le Tribunal des mesures de contrainte a ordonné la détention du recourant pour des motifs de sûreté en considérant que le risque de réitération était "important et imminent". Dans son arrêt du 16 novembre 2017, la Chambre des recours pénale a également invoqué l'existence d'un risque de récidive et a par ailleurs considéré qu'une mesure de substitution - soit une assignation à domicile couplée avec une surveillance électronique - ne serait pas de nature à contenir celui-ci. Dans son arrêt du 6 décembre 2017, la Chambre des recours pénale a confirmé la prolongation de la détention pour des motifs de sûreté jusqu'aux débats de première instance, en s'appuyant sur les mêmes considérations. Ainsi, dès lors que l'existence d'un risque de récidive avait été retenue par ces autorités pour refuser un élargissement du recourant avant les débats du 12 février 2018 et que l'existence d'un tel risque constituait par ailleurs l'une des conditions au prononcé de la mesure thérapeutique institutionnelle litigieuse, le recourant devait s'attendre, en cas de prononcé d'une telle mesure, à voir sa détention pour des motifs de sûreté prolongée jusqu'à sa mise en oeuvre. Quoi qu'il en soit, il apparaît en l'occurrence qu'un renvoi de la cause au tribunal de première instance, par la cour cantonale, n'aurait constitué qu'une vaine formalité, dès lors que ces deux autorités avaient admis l'existence d'un risque de réitération excluant tout élargissement. Par ailleurs, le recourant n'indique pas quel grief - autre que celui consistant à contester l'existence d'un risque de récidive, qui a constitué la question centrale de la cause, ou que la question de la proportionnalité de la détention pour des motifs de sûreté, qu'il a soulevé devant l'autorité précédente sans le répéter devant le Tribunal fédéral - il aurait formulé à l'encontre de son maintien en détention. Compte tenu de ce qui précède, un éventuel vice aurait de toute manière été réparé par le recours formé devant la cour cantonale. Le grief doit être rejeté.</w:t>
      </w:r>
    </w:p>
    <w:p>
      <w:r>
        <w:rPr>
          <w:b/>
        </w:rPr>
        <w:t>E. 3</w:t>
      </w:r>
    </w:p>
    <w:p>
      <w:r>
        <w:t>Le recourant reproche à la cour cantonale d'avoir violé l' art. 65 CP en confirmant le prononcé d'une mesure thérapeutique institutionnelle à son endroit.</w:t>
      </w:r>
    </w:p>
    <w:p>
      <w:r>
        <w:rPr>
          <w:b/>
        </w:rPr>
        <w:t>E. 3.1</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La jurisprudence considère que l' art. 65 al. 1 CP règle uniquement la transformation d'une peine privative de liberté - prononcée seule - en une mesure institutionnelle. Il ne permet pas de convertir un traitement ambulatoire exécuté pendant l'exécution de la peine privative de liberté en une mesure institutionnelle, lorsque la mesure n'a pas été formellement levée; la modification d'une mesure ambulatoire en une mesure institutionnelle doit respecter les conditions de l' art. 63b al. 5 CP ( ATF 143 IV 445 consid. 3.2 p. 448 et les références citées). L' art. 65 al. 1 CP a été appliqué, sans plus d'explications, par la cour cantonale, laquelle a circonscrit son examen aux conditions du prononcé d'une mesure thérapeutique institutionnelle au sens de l' art. 59 CP . Or, conformément à la jurisprudence rappelée, l' art. 65 CP ne pouvait trouver application en l'occurrence.</w:t>
      </w:r>
    </w:p>
    <w:p>
      <w:r>
        <w:rPr>
          <w:b/>
        </w:rPr>
        <w:t>E. 3.2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Le traitement ambulatoire suppose en principe que l'auteur reste en liberté. Il peut toutefois être appliqué pendant l'exécution d'une peine privative de liberté, lorsque le traitement ambulatoire exécuté en liberté paraît dangereux pour autrui (cf. art. 63b al. 3 CP ). La durée des mesures dépend des besoins de traitement de l'intéressé et des perspectives de succès de la mesure (cf. art. 56 al. 1 let. b CP ). La mesure est ordonnée sans égard au type et à la durée de la peine prononcée. Sont déterminants l'état des facultés mentales de l'auteur ainsi que l'impact de la mesure sur le risque de commission d'autres infractions ( ATF 143 IV 445 consid. 2.2 p. 447;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143 IV 445 consid. 2.2 p. 447; 141 IV 236 consid. 3.5 p. 240; ATF 141 IV 49 consid. 2.1 p. 51 s.). 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Sous le titre marginal "Exécution de la peine privative de liberté suspendue", l' art. 63b CP règle les conséquences de la levée du traitement ambulatoire exécuté en liberté. Selon la jurisprudence, cette disposition est également applicable à la levée d'un traitement ambulatoire exécuté en même temps que la peine privative de liberté ( ATF 143 IV 445 consid. 2.2 p. 447 et les références citées). Lorsque le traitement ambulatoire est levé à la suite de son échec, le tribunal doit déterminer si la peine privative de liberté suspendue doit être exécutée ( art. 63b al. 2 CP ) ou si une mesure thérapeutique institutionnelle selon les art. 59 à 61 CP doit être ordonnée ( art. 63b al. 5 CP ).</w:t>
      </w:r>
    </w:p>
    <w:p>
      <w:r>
        <w:rPr>
          <w:b/>
        </w:rPr>
        <w:t>E. 3.3</w:t>
      </w:r>
    </w:p>
    <w:p>
      <w:r>
        <w:t>En l'espèce, il ressort de l'arrêt attaqué que le recourant a été mis au bénéfice d'un traitement ambulatoire, au sens de l' art. 63 CP , par jugement du 15 février 2011. Cette mesure a été confirmée par jugement du 7 février 2014. L'autorité d'exécution n'a pas, par la suite, levé le traitement ambulatoire ni constaté que sa poursuite paraissait vouée à l'échec, cette mesure ayant uniquement été prise en compte par le tribunal de première instance qui, par son jugement du 15 février 2018, a entendu la lever afin de la remplacer par un traitement thérapeutique institutionnel. Il apparaît ainsi que le traitement ambulatoire ordonné en 2011 perdure actuellement, ce indépendamment du fait que les peines privatives de liberté prononcées contre le recourant par jugement du 7 février 2014 eussent désormais été purgées (cf. arrêt 6B_964/2015 du 14 octobre 2015 consid. 3.5.5). L'autorité d'exécution pouvait seule lever la mesure de traitement ambulatoire. Une telle décision pouvait ensuite, après l'épuisement de la voie de recours cantonale, faire l'objet d'un recours en matière pénale au Tribunal fédéral (cf. ATF 141 IV 49 consid. 2.4 p. 52). Une fois la levée de cette mesure entrée en force, il appartenait au juge du fond, saisi, cas échéant, d'une demande de l'autorité d'exécution, de se prononcer sur les conséquences de cette décision, par exemple en ordonnant une mesure thérapeutique institutionnelle - au sens de l' art. 59 CP - sur la base de l' art. 63b al. 5 CP . Cette décision pouvait ensuite, elle aussi, après l'épuisement de la voie de recours cantonale, faire l'objet d'un d'un recours en matière pénale au Tribunal fédéral (cf. arrêt 6B_253/2015 du 23 juillet 2015 consid. 2.3.1). Cette séparation des compétences - voulue par le législateur - pour lever une mesure, respectivement pour statuer sur les conséquences de cette levée, devait être observée en l'espèce, à défaut de quoi le recourant - dont le traitement ambulatoire a été levé par le même tribunal ayant simultanément prononcé une mesure thérapeutique institutionnelle - s'est vu privé d'une instance, respectivement d'une instance de recours (cf. 6B_253/2015 précité consid. 2.3.1). On rappellera que le fait que le recourant eût intégralement purgé les peines privatives de liberté auxquelles il avait été condamné ne faisait nullement obstacle à une telle procédure (cf. ATF 143 IV 1 consid. 5.4 p. 4). Par ailleurs, dès lors que le recourant a intégralement purgé ses peines privatives de liberté, le prononcé d'une mesure thérapeutique institutionnelle en lieu et place d'un traitement ambulatoire - sur la base de l' art. 63b al. 5 CP - ne pourrait intervenir, eu égard à l'atteinte importante à la liberté personnelle de l'intéressé qu'il suppose, qu'à titre exceptionnel (cf. ATF 143 IV 1 consid. 5.4 p. 4; concernant les conditions d'une telle décision, cf. arrêts 6B_100/2017 du 9 mars 2017 consid. 5.4; 6B_994/2016 du 7 novembre 2016 consid. 1.2.2), dans le cadre d'une stricte application du principe de proportionnalité (cf. ATF 136 IV 156 consid. 2.6 p. 159 s.) et conformément aux exigences que la jurisprudence a en particulier déduites de l' art. 5 CEDH (cf. ATF 136 IV 156 consid. 3.2 et 3.3 p. 161 ss; cf. aussi arrêt 6B_338/2018 du 22 mai 2018 consid. 2.2.5-2.2.7). En l'occurrence, c'est en vain que l'on cherche, dans l'arrêt attaqué, une discussion de ces cautèles, l'autorité précédente ayant seulement examiné les conditions du prononcé d'une mesure thérapeutique institutionnelle selon l' art. 59 CP . En définitive, le recours doit être admis sur ce point, l'arrêt attaqué annulé et la cause renvoyée à l'autorité cantonale. Il appartiendra, dans un premier temps, à l'autorité d'exécution de lever le traitement ambulatoire ordonné par jugement du 15 février 2011 puis confirmé par jugement du 7 février 2014, avant que, le cas échéant et dans un second temps, la question du prononcé d'une éventuelle mesure thérapeutique institutionnelle - selon l' art. 63b al. 5 CP - puisse être examinée (cf. arrêt 6B_964/2015 précité consid. 3.5.6). Dès lors que le recourant a purgé les peines privatives de liberté auxquelles il avait été condamné et se trouve actuellement en détention pour des motifs de sûreté, il appartiendra aux autorités cantonales d'agir avec la plus grande diligence. Compte tenu de ce qui précède, le Tribunal fédéral peut se dispenser, en l'état, d'examiner dans quelle mesure les conditions au prononcé d'une mesure thérapeutique institutionnelle au sens de l' art. 59 CP auraient été réunies.</w:t>
      </w:r>
    </w:p>
    <w:p>
      <w:r>
        <w:rPr>
          <w:b/>
        </w:rPr>
        <w:t>E. 4</w:t>
      </w:r>
    </w:p>
    <w:p>
      <w:r>
        <w:t>Le recours doit être partiellement admis (cf. consid. 3.3 supra), l'arrêt attaqué annulé et la cause renvoyée à l'autorité cantonale pour nouvelle décision. Pour le surplus, le recours doit être rejeté. Le recourant, qui n'obtient que partiellement gain de cause, supportera une partie des frais judiciaires ( art. 66 al. 1 LTF ). Il peut prétendre à des dépens réduits, à la charge du canton de Vaud ( art. 68 al. 1 LTF ). Sa demande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