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6B_50/2025 vom 10. März 2025</w:t>
      </w:r>
    </w:p>
    <w:p>
      <w:r>
        <w:t>Bundesgericht, 2025-03-10, DE</w:t>
      </w:r>
    </w:p>
    <w:p>
      <w:r>
        <w:rPr>
          <w:b/>
        </w:rPr>
        <w:t xml:space="preserve">Quelle: </w:t>
      </w:r>
      <w:r>
        <w:t>https://mcp.opencaselaw.ch/entscheid/bger_6B_50_2025</w:t>
      </w:r>
    </w:p>
    <w:p>
      <w:r>
        <w:t>FR: TF 6B_50/2025 du 10 mars 2025</w:t>
      </w:r>
    </w:p>
    <w:p>
      <w:r>
        <w:t>IT: TF 6B_50/2025 del 10 marzo 2025</w:t>
      </w:r>
    </w:p>
    <w:p>
      <w:pPr>
        <w:pStyle w:val="Heading2"/>
      </w:pPr>
      <w:r>
        <w:t>Erwägungen</w:t>
      </w:r>
    </w:p>
    <w:p>
      <w:r>
        <w:rPr>
          <w:b/>
        </w:rPr>
        <w:t>E. 1</w:t>
      </w:r>
    </w:p>
    <w:p>
      <w:r>
        <w:t>Die Staatsanwaltschaft, Zentrale Dienste, büsste den Beschwerdeführer mit Strafbefehl vom 17. November 2022 wegen Überschreitens der signalisierten Höchstgeschwindigkeit auf Autobahnen kostenfällig mit Fr. 60.-- (Ersatzfreiheitsstrafe 1 Tag). Gegen diesen Strafbefehl erhob der Beschwerdeführer am 3. Dezember 2022 Einsprache. Die Staatsanwaltschaft hielt am Strafbefehl fest. Zur Durchführung der Hauptverhandlung überwies sie die Akten am 13. März 2023 an das Bezirksgericht Luzern, welches den Beschwerdeführer am 12. Februar 2024 wegen Überschreitens der signalisierten Höchstgeschwindigkeit auf Autobahnen unter Kostenauflage mit einer Busse von Fr. 60.-- bestrafte (Ersatzfreiheitsstrafe 1 Tag). Die dagegen erhobene Berufung wies das Kantonsgericht Luzern am 6. Dezember 2024 ab und bestätigte das erstinstanzliche Urteil kostenfällig im Schuld- und Strafpunkt. Der Beschwerdeführer wendet sich mit Beschwerde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6B_1513/2021 vom 10. Januar 2022 E. 4 mit Hinweis).</w:t>
      </w:r>
    </w:p>
    <w:p>
      <w:r>
        <w:t>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6B_1288/2021 vom 24. November 2021 E. 2; 6B_1047/2018 vom 19. Februar 2019 E. 1.1.2).</w:t>
      </w:r>
    </w:p>
    <w:p>
      <w:r>
        <w:rPr>
          <w:b/>
        </w:rPr>
        <w:t>E. 3</w:t>
      </w:r>
    </w:p>
    <w:p>
      <w:r>
        <w:t>Die Beschwerde genügt den gesetzlichen Begründungsanforderungen nicht. Der Beschwerdeführer setzt sich mit den Erwägungen der Vorinstanz und den von dieser lediglich auf Willkür zu prüfenden Sachverhaltsfeststellungen des Bezirksgerichts Luzern (vgl. Art. 398 Abs. 4 StPO ) nicht im Geringsten auseinander. Stattdessen bestreitet er lapidar, das Auto gelenkt zu haben, und behauptet zudem, die Fahrzeughalterin sei nie befragt worden, wer der Fahrer gewesen sei. Er verkennt, dass das Bundesgericht als oberste Recht sprechende Behörde ( Art. 1 Abs. 1 BGG ) grundsätzlich auf eine Rechtsüberprüfung des vorinstanzlichen Entscheids beschränkt ist. Es ist keine Appellationsinstanz, die eine freie Prüfung in tatsächlicher Hinsicht vornimmt, sondern es legt seinem Urteil den Sachverhalt zugrunde, den die Vorinstanz festgestellt hat (vgl. Art. 105 Abs. 1 BGG ). Auf die appellatorische Kritik an der vorinstanzlichen Sachverhaltsfeststellung und Beweiswürdigung kann nicht eingetreten werden ( BGE 141 IV 317 E. 5.4 S. 324, 369 E. 6.3 S. 375; Urteil 6B_103/2017 vom 21. Juli 2017 E. 2.2; je mit Hinweisen).</w:t>
      </w:r>
    </w:p>
    <w:p>
      <w:r>
        <w:rPr>
          <w:b/>
        </w:rPr>
        <w:t>E. 4</w:t>
      </w:r>
    </w:p>
    <w:p>
      <w:r>
        <w:t>Bei diesem Verfahrensausgang sind die Gerichtskosten dem Beschwerdeführer aufzuerlegen ( Art. 66 Abs. 1 BGG ). Sein Gesuch um unentgeltliche Rechtspflege ist wegen Aussichtslosigkeit abzuweisen ( Art. 64 Abs. 1 BGG ). Den finanziellen Verhältnissen des Beschwerdeführers ist bei der Festsetzung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