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6B_509/2020 vom 4. Juni 2020</w:t>
      </w:r>
    </w:p>
    <w:p>
      <w:r>
        <w:t>Bundesgericht, 2020-06-04, DE</w:t>
      </w:r>
    </w:p>
    <w:p>
      <w:r>
        <w:rPr>
          <w:b/>
        </w:rPr>
        <w:t xml:space="preserve">Quelle: </w:t>
      </w:r>
      <w:r>
        <w:t>https://mcp.opencaselaw.ch/entscheid/bger_6B_509_2020</w:t>
      </w:r>
    </w:p>
    <w:p>
      <w:r>
        <w:t>FR: TF 6B_509/2020 du 4 juin 2020</w:t>
      </w:r>
    </w:p>
    <w:p>
      <w:r>
        <w:t>IT: TF 6B_509/2020 del 4 giugno 2020</w:t>
      </w:r>
    </w:p>
    <w:p>
      <w:pPr>
        <w:pStyle w:val="Heading2"/>
      </w:pPr>
      <w:r>
        <w:t>Erwägungen</w:t>
      </w:r>
    </w:p>
    <w:p>
      <w:r>
        <w:rPr>
          <w:b/>
        </w:rPr>
        <w:t>E. 1</w:t>
      </w:r>
    </w:p>
    <w:p>
      <w:r>
        <w:t>Das Kantonsgericht Luzern trat am 26. März 2020 auf eine Beschwerde nicht ein, weil es dieser an einer verständlichen und hinreichenden Begründung fehlte und sie den gesetzlichen Anforderungen von Art. 385 Abs. 1 StPO nicht genügte. Das Kantonsgericht verzichtete darauf, dem Beschwerdeführer eine Nachfrist anzusetzen. Die Anwendung von Art. 385 Abs. 2 StPO dürfe nicht dazu dienen, die Tragweite von Art. 89 Abs. 1 StPO , welcher das Erstrecken gerichtlicher Fristen verbiete, zu umgehen. Art. 385 Abs. 2 StPO erlaube auch nicht, bei einer lückenhaften Begründung Abhilfe zu schaffen.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StPO an die Beschwerdebegründung nicht auseinander. Aus seinen Beschwerdeeingaben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