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6B_507/2021 vom 1. September 2021</w:t>
      </w:r>
    </w:p>
    <w:p>
      <w:r>
        <w:t>Bundesgericht, 2021-09-01, FR</w:t>
      </w:r>
    </w:p>
    <w:p>
      <w:r>
        <w:rPr>
          <w:b/>
        </w:rPr>
        <w:t xml:space="preserve">Quelle: </w:t>
      </w:r>
      <w:r>
        <w:t>https://mcp.opencaselaw.ch/entscheid/bger_6B_507_2021</w:t>
      </w:r>
    </w:p>
    <w:p>
      <w:r>
        <w:t>FR: TF 6B_507/2021 du 1 septembre 2021</w:t>
      </w:r>
    </w:p>
    <w:p>
      <w:r>
        <w:t>IT: TF 6B_507/2021 del 1 settembre 2021</w:t>
      </w:r>
    </w:p>
    <w:p>
      <w:pPr>
        <w:pStyle w:val="Heading2"/>
      </w:pPr>
      <w:r>
        <w:t>Erwägungen</w:t>
      </w:r>
    </w:p>
    <w:p>
      <w:r>
        <w:rPr>
          <w:b/>
        </w:rPr>
        <w:t>E. 1</w:t>
      </w:r>
    </w:p>
    <w:p>
      <w:r>
        <w:t>La recourante se limite à conclure à l'annulation du jugement cantonal, sans indiquer ce qu'elle entend obtenir au fond. Elle formule ainsi des conclusions cassatoires qui ne sont en principe pas suffisantes dans le recours en matière pénale ( art. 107 al. 2 LTF ). Il ressort néanmoins de la motivation du recours qu'elle conteste les infractions reprochées au préjudice de B.A.________ (intimé 2), C.________ (intimée 3) et D.________ (intimé 4). Il convient donc d'interpréter ses conclusions (cf. ATF 137 III 617 consid. 6.2 p. 621) en ce sens qu'elle demande son acquittement de tous les chefs d'accusation retenus contre elle à l'encontre des prénommés (ci-après: les intimés), et d'entrer en matière sur le recours (cf. ATF 137 II 313 consid. 1.3 p. 317; arrêt 2C_284/2016 du 10 janvier 2017 consid. 1.3 non publié in ATF 143 II 57 ).</w:t>
      </w:r>
    </w:p>
    <w:p>
      <w:r>
        <w:rPr>
          <w:b/>
        </w:rPr>
        <w:t>E. 2</w:t>
      </w:r>
    </w:p>
    <w:p>
      <w:r>
        <w:t>La recourante se plaint d'une violation de l'interdiction de l'arbitraire, de la présomption d'innocence et du principe " 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p. 156; 142 III 364 consid. 2.4 p. 368 et les références citées).</w:t>
      </w:r>
    </w:p>
    <w:p>
      <w:r>
        <w:rPr>
          <w:b/>
        </w:rPr>
        <w:t>E. 2.2</w:t>
      </w:r>
    </w:p>
    <w:p>
      <w:r>
        <w:t>La présomption d'innocence, garantie par les art. 10 CPP , 32 al. 1 Cst., 14 § 2 Pacte ONU II et 6 § 2 CEDH ,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p. 91 s.; 145 IV 154 consid. 1.1 p. 155 s. et les références citées).</w:t>
      </w:r>
    </w:p>
    <w:p>
      <w:r>
        <w:rPr>
          <w:b/>
        </w:rPr>
        <w:t>E. 2.3</w:t>
      </w:r>
    </w:p>
    <w:p>
      <w:r>
        <w:t>Les déclarations de la victime constituent un élément de preuve. Le juge doit, dans l'évaluation globale de l'ensemble des éléments probatoires rassemblés au dossier, les apprécier librement (arrêts 6B_892/2020 du 16 février 2021 consid. 6.1; 6B_332/2020 du 9 juin 2020 consid. 3.2 et les références citées), sous réserve des cas particuliers où une expertise de la crédibilité des déclarations de la victime s'impose (cf. ATF 129 IV 179 consid. 2.4 p. 184).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 ATF 137 IV 122 consid. 3.3 p. 127; arrêts 6B_892/2020 précité consid. 6.1; 6B_332/2020 précité consid. 3.2).</w:t>
      </w:r>
    </w:p>
    <w:p>
      <w:r>
        <w:rPr>
          <w:b/>
        </w:rPr>
        <w:t>E. 3.1</w:t>
      </w:r>
    </w:p>
    <w:p>
      <w:r>
        <w:t>La recourante conteste avoir commis la moindre infraction à l'encontre des intimés 3 et 4.</w:t>
      </w:r>
    </w:p>
    <w:p>
      <w:r>
        <w:rPr>
          <w:b/>
        </w:rPr>
        <w:t>E. 3.1.1</w:t>
      </w:r>
    </w:p>
    <w:p>
      <w:r>
        <w:t>A cet égard, la cour cantonale a tenu pour établi l'ensemble des faits dénoncés par les intimés dont l'établissement reposait sur leurs explications constantes et concordantes. L'hypothèse d'un complot ourdi par ceux-ci à l'encontre de la recourante n'emportait pas la conviction. Les intimés étaient toujours restés factuels et modérés dans leur récit des faits contrairement à la recourante qui n'avait eu de cesse de varier dans ses déclarations, tout en évoquant des éléments non étayés, en contradiction les uns avec les autres, voire en contradiction manifeste avec le dossier, perdant ainsi toute crédibilité. Elle avait par exemple déclaré avoir dénoncé la présence de l'intimé 4 au restaurant le jour des faits parce qu'il était au bénéfice de l'assurance-invalidité ou parce qu'il s'était montré agressif avec les clients ou encore parce qu'il s'était montré irrespectueux envers elle. Elle avait également affirmé, en contradiction manifeste avec les éléments du dossier, être l'unique propriétaire du restaurant ou encore que son mari avait été condamné par le passé pour avoir employé des personnes au noir, avant de devoir admettre que c'était en réalité elle qui avait un tel antécédent. Les juges cantonaux ont acquis la conviction qu'elle s'était exprimée de la sorte pour accabler les intimés et étayer sa théorie du complot, qui ne résistait pas à l'examen. Ils ont par ailleurs retenu que la crédibilité de ces derniers était renforcée par le rapport de police du 4 novembre 2017 dont il ressortait que la recourante avait eu un comportement agité, véhément et propre à perturber le déroulement du service. A cela s'ajoutaient les propres déclarations de la recourante relatives à cette période, amenant la cour cantonale à constater qu'elle ne vivait pas bien ce qu'elle pensait être la nouvelle relation de son mari, qu'elle éprouvait manifestement des sentiments d'inimitié envers les intimés 3 et 4 et qu'elle avait du mal à contenir ses émotions, raison pour laquelle elle prenait d'ailleurs des médicaments, selon ses dires " pour rester calme ". Les faits visant plus particulièrement l'intimé 4 étaient en outre corroborés par la facture de la réparation de ses lunettes, du 1er mai 2018, tandis que les déclarations de la recourante à cet égard étaient contradictoires et peu crédibles. Quant aux faits visant l'intimée 3, la recourante en avait livré un récit en contradiction manifeste avec les constatations policières, contrairement à l'intimée dont la crédibilité était restée intacte, malgré le fait qu'elle ne s'était plus rappelée si elle avait été traitée de " pute " ou de " salope ", celle-ci ayant été cohérente lors de l'ensemble de ses déclarations. L'intimé 2 avait en outre confirmé avoir entendu le terme " pute ".</w:t>
      </w:r>
    </w:p>
    <w:p>
      <w:r>
        <w:rPr>
          <w:b/>
        </w:rPr>
        <w:t>E. 3.1.2</w:t>
      </w:r>
    </w:p>
    <w:p>
      <w:r>
        <w:t>La recourante reproche à la cour cantonale d'avoir mal évalué la crédibilité des intimés 3 et 4. En tant que son argumentation consiste uniquement à opposer sa propre appréciation à celle de la cour cantonale, elle est purement appellatoire. Il en va ainsi lorsqu'elle estime que les déclarations - ambiguës - de l'intimée 3, qui ne s'était pas rappelée si elle avait été traitée de " pute " ou de " salope ", confortaient sa thèse selon laquelle celle-ci n'avait cessé de mentir avec la complicité de l'intimé 2. Il en va de même lorsque la recourante remet en cause la crédibilité des intimés en raison de l'amitié qui les lie et réitère sa théorie du complot, affirmant qu'ils s'étaient à l'évidence concertés " afin de [la] dénoncer pénalement dans le but de la faire condamner injustement en justice ", sans discuter la motivation de la cour cantonale qui a expliqué de manière convaincante pourquoi elle écartait l'hypothèse d'un complot (cf. consid. 3.1.1 supra). Partant, le grief est irrecevable.</w:t>
      </w:r>
    </w:p>
    <w:p>
      <w:r>
        <w:rPr>
          <w:b/>
        </w:rPr>
        <w:t>E. 3.2</w:t>
      </w:r>
    </w:p>
    <w:p>
      <w:r>
        <w:t>La recourante conteste les infractions reprochées au préjudice de l'intimé 2, à l'exception de la morsure à l'avant-bras.</w:t>
      </w:r>
    </w:p>
    <w:p>
      <w:r>
        <w:rPr>
          <w:b/>
        </w:rPr>
        <w:t>E. 3.2.1</w:t>
      </w:r>
    </w:p>
    <w:p>
      <w:r>
        <w:t>D'après la cour cantonale, il existait un faisceau d'indices permettant de conclure à la véracité des déclarations de l'intimé 2. Ainsi, celui-ci avait décrit les faits de façon cohérente et détaillée. Plusieurs épisodes étaient en outre corroborés par des éléments objectifs figurant au dossier, soit des photographies ou des certificats médicaux, tandis que d'autres avaient été immédiatement rapportés à son conseil, puis dénoncés à la police, ce qui allait dans le sens de la réalité de leur survenance. La recourante avait au demeurant admis avoir mordu son époux le 9 août 2018. A cet égard, les juges cantonaux ont écarté la thèse de la légitime défense, le récit de la recourante à ce propos étant peu crédible. De plus, la cour cantonale a considéré que la version de la recourante selon laquelle son époux se serait lui-même infligé les blessures du 6 décembre 2017 et du 23 mars 2018, n'emportait aucunement la conviction. Elle a en outre constaté des contradictions dans les explications de la recourante s'agissant des épisodes de pincements aux testicules et a retenu que ses déclarations relatives au tuyau d'évier et au couteau n'étaient pas crédibles, contrairement à celles de son époux. Enfin, la juridiction précédente a écarté la thèse de la recourante selon laquelle elle n'aurait, de manière générale, fait que " se défendre " car elle aurait elle-même été victime de violences physiques et psychiques de la part de l'intimé 2. Elle avait livré à cet égard des explications confuses, contradictoires et non étayées alors que, selon ses dires, les faits s'étaient déroulés au restaurant devant des témoins. Ses explications - contradictoires - quant à l'absence de plainte pénale à ce propos étaient au demeurant peu crédibles.</w:t>
      </w:r>
    </w:p>
    <w:p>
      <w:r>
        <w:rPr>
          <w:b/>
        </w:rPr>
        <w:t>E. 3.2.2</w:t>
      </w:r>
    </w:p>
    <w:p>
      <w:r>
        <w:t>La recourante reproche tout d'abord à la cour cantonale de n'avoir pas retenu, de manière arbitraire, la légitime défense dans le cadre de l'événement lié à la morsure à l'avant-bras alors qu'elle aurait expliqué de manière constante que son époux avait effectué une prise au cou et qu'en conséquence, on se trouvait, selon elle, en situation de légitime défense. En l'espèce, les juges cantonaux ont écarté la thèse de la légitime défense en raison du manque de crédibilité des déclarations de la recourante s'agissant de l'événement en cause. Ils ont considéré que ses explications selon lesquelles elle avait mordu son mari pour se libérer de l'emprise de celui-ci en train de l'étouffer, étaient peu vraisemblables vu l'endroit où se situait la morsure, lequel semblait inaccessible dans la configuration décrite. Il apparaissait également peu vraisemblable qu'elle ne dénonce pas la prétendue agression à la police alors même que celle-ci était intervenue ce jour-là. Or, en se contentant de faire valoir que son récit a été constant depuis le début de la procédure, et qu'elle estime celui-ci " cohérent et crédible ", la recourante ne tente nullement de démontrer en quoi l'appréciation de la cour cantonale serait arbitraire. Il n'apparaît au demeurant pas que tel soit le cas. Partant, faute de situation de légitime défense, il n'y a pas lieu d'examiner plus avant si les conditions de la légitime défense, au sens de l' art. 15 CP , sont réunies.</w:t>
      </w:r>
    </w:p>
    <w:p>
      <w:r>
        <w:t>La recourante conteste ensuite avoir commis les autres actes reprochés à l'encontre de son époux. Elle fait valoir que sans le moindre témoin et en présence de versions contradictoires, le doute aurait dû lui profiter. Toutefois par son argumentation elle se borne à opposer, dans une démarche exclusivement appellatoire, et partant irrecevable, sa propre appréciation de la crédibilité de l'intimé 2 à celle de la cour cantonale sans tenter de démontrer l'arbitraire de celle-ci. Il en va ainsi lorsqu'elle affirme que celui-ci " avait fait des déclarations totalement contraires à la vérité " ou " n'avait d'autres buts que celui de lui créer des problèmes avec la justice en la faisant condamner, sur la base d'allégations totalement contraires à la réalité " ou encore qu'il ne faisait que " la démonstration implacable de sa culpabilité ". Aucune de ces déclarations n'est propre à ébranler la crédibilité de l'intimé 2. Au surplus, les preuves disponibles ne se limitent pas en l'espèce à une confrontation de " parole contre parole ", les événements décrits par l'intimé 2 étant en grande partie corroborés par des éléments objectifs figurant au dossier.</w:t>
      </w:r>
    </w:p>
    <w:p>
      <w:r>
        <w:rPr>
          <w:b/>
        </w:rPr>
        <w:t>E. 3.3</w:t>
      </w:r>
    </w:p>
    <w:p>
      <w:r>
        <w:t>Fondé sur ce qui précède, la cour cantonale pouvait retenir sans arbitraire que la recourante avait commis les actes reprochés au préjudice des intimés. La recourante ne discute pas la qualification juridique de ceux-ci, sur laquelle il n'y a donc pas lieu de revenir. En tant qu'elle fait valoir que le fait d'avoir reproché à l'intimée de coucher avec son mari n'était pas constitutif d'infraction à l' art. 177 CP , son argument tombe à faux dès lors que sa condamnation porte sur le fait qu'elle a traité celle-ci de " pute ".</w:t>
      </w:r>
    </w:p>
    <w:p>
      <w:r>
        <w:rPr>
          <w:b/>
        </w:rPr>
        <w:t>E. 4.1</w:t>
      </w:r>
    </w:p>
    <w:p>
      <w:r>
        <w:t>Dénonçant une violation du droit d'être entendue et de l'interdiction de l'arbitraire, la recourante fait grief à la cour cantonale d'avoir refusé d'administrer les preuves requises, soit l'audition de la Dre F.________ et l'expertise psychiatrique sur sa personne. Elle estime qu'au vu de son état de santé attesté sur le plan médical et non contesté, il est " totalement incompréhensible " que les juges cantonaux lui aient nié le droit de faire la démonstration d'une éventuelle diminution de sa responsabilité pénale, voire de sa totale irresponsabilité lors de la commission des faits dont elle est accusée.</w:t>
      </w:r>
    </w:p>
    <w:p>
      <w:r>
        <w:rPr>
          <w:b/>
        </w:rPr>
        <w:t>E. 4.2</w:t>
      </w:r>
    </w:p>
    <w:p>
      <w:r>
        <w:t>Conformément à l' art. 20 CP , l'autorité d'instruction ou le juge ordonne une expertise s'il existe une raison sérieuse de douter de la responsabilité de l'auteur.</w:t>
      </w:r>
    </w:p>
    <w:p>
      <w:r>
        <w:t>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(arrêts 6B_727/2019 du 27 septembre 2019 consid. 2.2; 6B_987/2017 du 12 février 2018 consid. 1.1; 6B_352/2014 du 22 mai 2015 consid. 5.1 non publié aux ATF 141 IV 271 ; ATF 133 IV 145 consid. 3.3 p. 147).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 ATF 116 IV 273 consid. 4a p. 274; arrêts 6B_727/2019 précité consid. 2.2; 6B_1222/2018 du 3 mai 2019 consid. 2.2).</w:t>
      </w:r>
    </w:p>
    <w:p>
      <w:r>
        <w:rPr>
          <w:b/>
        </w:rPr>
        <w:t>E. 4.3</w:t>
      </w:r>
    </w:p>
    <w:p>
      <w:r>
        <w:t>La cour cantonale a rejeté les requêtes de la recourante dans la mesure où il n'y avait aucun élément au dossier de nature à fonder un doute sérieux quant à sa responsabilité, relevant en particulier que les attestations médicales de la Dre F.________ révélaient chez la recourante une dépression sévère et des difficultés thymiques importantes, mais nullement une éventuelle pathologie susceptible de remettre en cause sa responsabilité pénale au moment des faits. L'appréciation de la cour cantonale ne prête pas le flanc à la critique. La recourante n'y oppose aucune argumentation convaincante. Elle se contente de se référer aux pièces médicales dont la cour cantonale a tenu compte, sans toutefois indiquer quels éléments contenus dans celles-ci laisseraient subsister un doute quant à sa responsabilité pénale, et auraient dû conduire les juges d'appel à ordonner une expertise au sens de l' art. 20 CP . Cela étant, la juridiction cantonale n'a pas violé le droit fédéral en refusant d'ordonner l'audition de la Dre F.________ et de soumettre la recourante à une expertise portant sur sa responsabilité pénale. Le grief doit être rejeté.</w:t>
      </w:r>
    </w:p>
    <w:p>
      <w:r>
        <w:rPr>
          <w:b/>
        </w:rPr>
        <w:t>E. 5</w:t>
      </w:r>
    </w:p>
    <w:p>
      <w:r>
        <w:t>Il s'ensuit que le recours doit être rejeté dans la mesure où il est recevable. Il était d'emblée dénué de chance de succès. L'assistance judiciaire doit donc être refusée ( art. 64 al. 1 LTF ). La recourante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