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6B_507/2016 vom 9. August 2016</w:t>
      </w:r>
    </w:p>
    <w:p>
      <w:r>
        <w:t>Bundesgericht, 2016-08-09, DE</w:t>
      </w:r>
    </w:p>
    <w:p>
      <w:r>
        <w:rPr>
          <w:b/>
        </w:rPr>
        <w:t xml:space="preserve">Quelle: </w:t>
      </w:r>
      <w:r>
        <w:t>https://mcp.opencaselaw.ch/entscheid/bger_6B_507_2016</w:t>
      </w:r>
    </w:p>
    <w:p>
      <w:r>
        <w:t>FR: TF 6B_507/2016 du 9 août 2016</w:t>
      </w:r>
    </w:p>
    <w:p>
      <w:r>
        <w:t>IT: TF 6B_507/2016 del 9 agosto 2016</w:t>
      </w:r>
    </w:p>
    <w:p>
      <w:pPr>
        <w:pStyle w:val="Heading2"/>
      </w:pPr>
      <w:r>
        <w:t>Erwägungen</w:t>
      </w:r>
    </w:p>
    <w:p>
      <w:r>
        <w:rPr>
          <w:b/>
        </w:rPr>
        <w:t>E. 1.1</w:t>
      </w:r>
    </w:p>
    <w:p>
      <w:r>
        <w:t>In Bezug auf den Tatbestand der Erpressung geht die Vorinstanz von einem leichten bis mittelschweren Tatverschulden aus. Dafür sei - mit Blick auf den Strafrahmen und im Vergleich zu den möglich denkbaren Erpressungen - eine Freiheitsstrafe von 15 Monaten angemessen. Hinsichtlich des Tatbestandes der einfachen Körperverletzung sei das Tatverschulden leicht. Dafür sei eine Geldstrafe von 30 (recte: 24) Tagessätzen angemessen. Die Täterkomponenten seien für beide Tatbestände neutral. Sowohl für die Freiheitsstrafe als auch für die Geldstrafe seien die Voraussetzungen für den bedingten Vollzug erfüllt; die Geldstrafe sei mit einer Busse zu verbinden.</w:t>
      </w:r>
    </w:p>
    <w:p>
      <w:r>
        <w:rPr>
          <w:b/>
        </w:rPr>
        <w:t>E. 1.2</w:t>
      </w:r>
    </w:p>
    <w:p>
      <w:r>
        <w:t>Der Beschwerdeführer rügt, die von der Vorinstanz ausgesprochene Strafe sei unvertretbar hoch. In anderen, vergleichbaren Fällen seien wesentlich mildere Strafen verhängt worden. Die Vorinstanz habe zudem nicht berücksichtigt, dass er die Erpressung nicht geplant habe. Er habe nur die Absicht gehabt, A.________ wegen seines Verhaltens gegenüber seiner Ehefrau mittels Schlägen zu bestrafen. Erst als dieser ihm gesagt habe, er werde ihm geben, was er wolle, um nicht geschlagen zu werden, sei er auf die Idee gekommen, von ihm Fr. 5'000.-- zu verlangen. Sein Verschulden sei deshalb als leicht zu qualifizieren. Der Vorschlag, ihm Geld zu geben, sei von A.________ ausgegangen, weshalb es nicht glaubhaft sei, dass er noch Drohungen gegenüber den Familienangehörigen habe aussprechen müssen, um ihn zu erpressen. Es sei schliesslich strafmindernd zu berücksichtigen, dass er durch die Erpressung keinen finanziellen Vorteil erlangt habe, zumal er die Banknote, die ohnehin nicht A.________ gehört habe, der Polizei zurückgegeben habe.</w:t>
      </w:r>
    </w:p>
    <w:p>
      <w:r>
        <w:rPr>
          <w:b/>
        </w:rPr>
        <w:t>E. 1.3.1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w:t>
      </w:r>
    </w:p>
    <w:p>
      <w:r>
        <w:rPr>
          <w:b/>
        </w:rPr>
        <w:t>E. 1.3.2</w:t>
      </w:r>
    </w:p>
    <w:p>
      <w:r>
        <w:t>Die Rüge, die von der Vorinstanz ausgesprochene Strafe sei im Vergleich zu anderen, ähnlichen Fällen zu hoch, ist unbegründet. Nach der Rechtsprechung führen der Grundsatz der Individualisierung und das dem Sachrichter bei der Strafzumessung eingeräumte weite Ermessen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mit Hinweisen).</w:t>
      </w:r>
    </w:p>
    <w:p>
      <w:r>
        <w:rPr>
          <w:b/>
        </w:rPr>
        <w:t>E. 1.3.3</w:t>
      </w:r>
    </w:p>
    <w:p>
      <w:r>
        <w:t>Die Vorinstanz berücksichtigt bei der Strafzumessung bereits, dass eine eigentliche Planung, welche auf eine hohe oder schon nur deutlich erhöhte kriminelle Energie schliessen lassen würde, nicht vorliegt. Sie erkennt aber auch, dass der Beschwerdeführer A.________ mit der Tötung seiner Familie gedroht und dessen Angst schamlos ausgenützt habe (Urteil, S. 22 f.). Die Rüge, die Vorinstanz habe nicht beachtet, dass die Erpressung nicht geplant gewesen sei, ist daher unbegründet. Indem der Beschwerdeführer vorträgt, er habe A.________ nicht bedroht, entfernt er sich von den verbindlichen Feststellungen der Vorinstanz, ohne darzulegen, inwiefern diese willkürlich sein sollen. Darauf ist nicht einzutreten.</w:t>
      </w:r>
    </w:p>
    <w:p>
      <w:r>
        <w:rPr>
          <w:b/>
        </w:rPr>
        <w:t>E. 1.3.4</w:t>
      </w:r>
    </w:p>
    <w:p>
      <w:r>
        <w:t>Dass der Beschwerdeführer die Hundertfrankennote der Polizei zurück gab, ist ohne Belang, zumal zur Erfüllung des Tatbestandes von Art. 156 StGB eine vorübergehende Schädigung genügt ( BGE 123 IV 17 E. 3d mit Hinweisen). Unzutreffend - soweit überhaupt von Bedeutung - ist, dass die Banknote nicht dem Geschädigten gehörte. Dem Polizeirapport ist zu entnehmen, dass die Polizei eine A.________ gehörende Banknote markierte und ihm nach der Anhaltung des Beschwerdeführers zurückgab (kantonale Akten, pag. 38).</w:t>
      </w:r>
    </w:p>
    <w:p>
      <w:r>
        <w:rPr>
          <w:b/>
        </w:rPr>
        <w:t>E. 1.3.5</w:t>
      </w:r>
    </w:p>
    <w:p>
      <w:r>
        <w:t>Die Vorinstanz überschreitet das ihr zustehende Ermessen nicht, wenn sie das Tatverschulden in Bezug auf die Erpressung als leicht bis mittelschwer einstuft und dafür eine bedingte Freiheitsstrafe von 15 Monaten ausspricht.</w:t>
      </w:r>
    </w:p>
    <w:p>
      <w:r>
        <w:rPr>
          <w:b/>
        </w:rPr>
        <w:t>E. 2</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