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6B_506/2021 vom 2. Juni 2021</w:t>
      </w:r>
    </w:p>
    <w:p>
      <w:r>
        <w:t>Bundesgericht, 2021-06-02, FR</w:t>
      </w:r>
    </w:p>
    <w:p>
      <w:r>
        <w:rPr>
          <w:b/>
        </w:rPr>
        <w:t xml:space="preserve">Quelle: </w:t>
      </w:r>
      <w:r>
        <w:t>https://mcp.opencaselaw.ch/entscheid/bger_6B_506_2021</w:t>
      </w:r>
    </w:p>
    <w:p>
      <w:r>
        <w:t>FR: TF 6B_506/2021 du 2 juin 2021</w:t>
      </w:r>
    </w:p>
    <w:p>
      <w:r>
        <w:t>IT: TF 6B_506/2021 del 2 giugno 2021</w:t>
      </w:r>
    </w:p>
    <w:p>
      <w:pPr>
        <w:pStyle w:val="Heading2"/>
      </w:pPr>
      <w:r>
        <w:t>Erwägungen</w:t>
      </w:r>
    </w:p>
    <w:p>
      <w:r>
        <w:rPr>
          <w:b/>
        </w:rPr>
        <w:t>E. 1</w:t>
      </w:r>
    </w:p>
    <w:p>
      <w:r>
        <w:t>Par jugement du 21 septembre 2020, le Tribunal de police de la République et canton de Genève a reconnu A.A.________ coupable de lésions corporelles simples qualifiées, violation du devoir d'assistance et d'éducation pour une partie des faits qui lui étaient reprochés à ce titre, l'acquittant pour une autre partie de ceux-ci, a constaté son irresponsabilité pénale pour le solde des faits reprochés au titre de la violation du devoir d'assistance et d'éducation, pour les faits ayant fait l'objet d'un renvoi pour insoumission à une décision de l'autorité et pour ceux ayant fait l'objet d'un renvoi pour empêchement d'accomplir un acte officiel. Il l'a condamnée à une peine privative de liberté de quatre mois, sous déduction de 23 jours de détention avant jugement, suspendue au profit d'une mesure thérapeutique institutionnelle, ainsi qu'au paiement à son fils, B.A.________, d'un montant de 4000 fr., avec intérêts à 5% l'an dès le 8 juin 2017, en réparation de son tort moral et à un tiers des frais de la procédure. Il a rejeté ses conclusions en indemnisation.</w:t>
      </w:r>
    </w:p>
    <w:p>
      <w:r>
        <w:t>Par arrêt du 11 mars 2021, la Chambre pénale d'appel et de révision de la Cour de justice genevoise a partiellement admis l'appel formé par A.A.________ contre le jugement précité et l'a réformé en ce sens que la peine privative de liberté a été ramenée à deux mois. Il a confirmé le jugement pour le surplus.</w:t>
      </w:r>
    </w:p>
    <w:p>
      <w:r>
        <w:t>A.A.________ forme un recours en matière pénale au Tribunal fédéral contre l'arrêt précité. Elle conclut à l'annulation de celui-ci, à ce qu'il soit ordonné une nouvelle expertise auprès du Centre universitaire romand de médecine légale et à ce que l'autorité précédente statue à nouveau en citant l'enfant B.A.________ afin de lui demander sa version des faits et son état actuel.</w:t>
      </w:r>
    </w:p>
    <w:p>
      <w:r>
        <w:rPr>
          <w:b/>
        </w:rPr>
        <w:t>E. 2</w:t>
      </w:r>
    </w:p>
    <w:p>
      <w:r>
        <w:t>Dans la mesure où les pièces produites par la recourante ne figureraient pas déjà à la procédure, elles sont nouvelles, partant irrecevables ( art. 99 al. 1 LTF ).</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t>L'argumentation de la recourante consiste uniquement en une vaste rediscussion des faits dans le cadre de laquelle elle renvoie à différents documents annexés à son écriture de recours contenant une présentation de ses commentaires sur certaines pièces du dossier ainsi que sa version des faits. Ce faisant, elle ne fait qu'opposer sa propre version et sa propre appréciation des preuves à celle de la cour cantonale, dans une démarche purement appellatoire. Il en va de même lorsque la recourante se fonde sur des faits non constatés dans l'arrêt attaqué, sans qu'elle ne cherche à démontrer qu'ils auraient été arbitrairement omis. Les critiques de la recourante ne répondent ainsi pas aux exigences de motivation accrues de l' art. 106 al. 2 LTF et sont, par conséquent, irrecevables. Pour le surplus, la recourante ne démontre pas en quoi la cour cantonale aurait violé le droit. Elle ne présente ainsi aucun grief répondant aux exigences de motivation de l' art. 42 al. 2 LTF .</w:t>
      </w:r>
    </w:p>
    <w:p>
      <w:r>
        <w:rPr>
          <w:b/>
        </w:rPr>
        <w:t>E. 4</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6B_55/2021 du 25 février 2021 consid. 4; 6B_65/2021 du 19 février 2021 consid. 5;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(arrêts 6B_65/2021 précité consid. 5; 6B_1156/2020 du 2 novembre 2020 consid. 4; 6B_13/2015 précité consid. 3 et les références citées). Le respect du délai de recours non prolongeable ainsi que l'exigence d'un examen des chances de succès contraignent la partie recourante à déposer une écriture en bonne et due forme avant qu'il soit statué sur l'assistance judiciaire selon l' art. 64 LTF (arrêts 6B_65/2021 précité consid. 5; 6B_1207/2020 du 24 novembre 2020 consid. 4 et la référence citée). En l'occurrence, au vu du sort du recours, la demande de désignation d'un avocat d'office et d'assistance judiciaire doit être rejetée, faute de chance de succès.</w:t>
      </w:r>
    </w:p>
    <w:p>
      <w:r>
        <w:rPr>
          <w:b/>
        </w:rPr>
        <w:t>E. 5</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