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6B_506/2014 vom 8. Juli 2014</w:t>
      </w:r>
    </w:p>
    <w:p>
      <w:r>
        <w:t>Bundesgericht, 2014-07-08, FR</w:t>
      </w:r>
    </w:p>
    <w:p>
      <w:r>
        <w:rPr>
          <w:b/>
        </w:rPr>
        <w:t xml:space="preserve">Quelle: </w:t>
      </w:r>
      <w:r>
        <w:t>https://mcp.opencaselaw.ch/entscheid/bger_6B_506_2014</w:t>
      </w:r>
    </w:p>
    <w:p>
      <w:r>
        <w:t>FR: TF 6B_506/2014 du 8 juillet 2014</w:t>
      </w:r>
    </w:p>
    <w:p>
      <w:r>
        <w:t>IT: TF 6B_506/2014 del 8 luglio 2014</w:t>
      </w:r>
    </w:p>
    <w:p>
      <w:pPr>
        <w:pStyle w:val="Heading2"/>
      </w:pPr>
      <w:r>
        <w:t>Erwägungen</w:t>
      </w:r>
    </w:p>
    <w:p>
      <w:r>
        <w:rPr>
          <w:b/>
        </w:rPr>
        <w:t>E. 1</w:t>
      </w:r>
    </w:p>
    <w:p>
      <w:r>
        <w:t>Par arrêt du 4 avril 2014, l'Autorité de recours en matière pénale du Tribunal cantonal neuchâtelois a rejeté le recours de X.________ et confirmé l'ordonnance de non-entrée en matière rendue le 4 septembre 2013 sur sa plainte contre Y.________ pour corruption active d'agents publics suisses. La prénommée interjette un recours en matière pénale au Tribunal fédéral contre l'arrêt cantonal dont elle demande l'annulation.</w:t>
      </w:r>
    </w:p>
    <w:p>
      <w:r>
        <w:rPr>
          <w:b/>
        </w:rPr>
        <w:t>E. 2.1</w:t>
      </w:r>
    </w:p>
    <w:p>
      <w:r>
        <w:t>Le Tribunal fédéral examine librement et d'office les conditions de recevabilité des recours qui lui sont soumis ( ATF 138 I 367 consid. 1 p. 369).</w:t>
      </w:r>
    </w:p>
    <w:p>
      <w:r>
        <w:rPr>
          <w:b/>
        </w:rPr>
        <w:t>E. 2.2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 ATF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137 IV 219 consid. 2.4 p. 222 s.).</w:t>
      </w:r>
    </w:p>
    <w:p>
      <w:r>
        <w:t>La recourante ne consacre aucun développement à la question des prétentions civiles dans son mémoire de recours au Tribunal fédéral. L'absence de toute explication sur ce point exclut sa qualité pour recourir sur le fond de la cause.</w:t>
      </w:r>
    </w:p>
    <w:p>
      <w:r>
        <w:rPr>
          <w:b/>
        </w:rPr>
        <w:t>E. 2.3</w:t>
      </w:r>
    </w:p>
    <w:p>
      <w:r>
        <w:t>Par ailleurs, l'hypothèse visée à l'art. 81 al. 1 let. b ch. 6 LTF n'entre pas en considération, la contestation ne portant pas sur le droit de porter plainte de la recourante.</w:t>
      </w:r>
    </w:p>
    <w:p>
      <w:r>
        <w:rPr>
          <w:b/>
        </w:rPr>
        <w:t>E. 2.4</w:t>
      </w:r>
    </w:p>
    <w:p>
      <w:r>
        <w:t>Tout au plus, cette dernière pourrait-elle être habilitée à se plaindre d'une violation de ses droits de partie équivalant à un déni de justice formel, sans toutefois pouvoir faire valoir par ce biais, même indirectement, des moyens qui ne peuvent être séparés du fond ( ATF 136 IV 29 consid. 1.9 et les réf. cit.). En tant qu'elle critique l'application du principe ne bis in idem, elle argue d'un moyen irrecevable, à défaut précisément de pouvoir être séparé du fond.</w:t>
      </w:r>
    </w:p>
    <w:p>
      <w:r>
        <w:rPr>
          <w:b/>
        </w:rPr>
        <w:t>E. 2.5</w:t>
      </w:r>
    </w:p>
    <w:p>
      <w:r>
        <w:t>Faute de qualité pour recourir, le recours doit être déclaré irrecevable.</w:t>
      </w:r>
    </w:p>
    <w:p>
      <w:r>
        <w:rPr>
          <w:b/>
        </w:rPr>
        <w:t>E. 3</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