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6B_506/2007 vom 13. November 2007</w:t>
      </w:r>
    </w:p>
    <w:p>
      <w:r>
        <w:t>Bundesgericht, 2007-11-13, FR</w:t>
      </w:r>
    </w:p>
    <w:p>
      <w:r>
        <w:rPr>
          <w:b/>
        </w:rPr>
        <w:t xml:space="preserve">Quelle: </w:t>
      </w:r>
      <w:r>
        <w:t>https://mcp.opencaselaw.ch/entscheid/bger_6B_506_2007</w:t>
      </w:r>
    </w:p>
    <w:p>
      <w:r>
        <w:t>FR: TF 6B_506/2007 du 13 novembre 2007</w:t>
      </w:r>
    </w:p>
    <w:p>
      <w:r>
        <w:t>IT: TF 6B_506/2007 del 13 novembre 2007</w:t>
      </w:r>
    </w:p>
    <w:p>
      <w:pPr>
        <w:pStyle w:val="Heading2"/>
      </w:pPr>
      <w:r>
        <w:t>Erwägungen</w:t>
      </w:r>
    </w:p>
    <w:p>
      <w:r>
        <w:rPr>
          <w:b/>
        </w:rPr>
        <w:t>E. 1</w:t>
      </w:r>
    </w:p>
    <w:p>
      <w:r>
        <w:t>Aux termes de l'art. 81 al. 1 let. b ch. 6 LTF, le plaignant a qualité pour former un recours en matière pénale, pour autant que la contestation porte sur le droit de porter plainte. Cette disposition ne lui permet pas d'attaquer la décision sur le fond, mais lui offre la possibilité d'invoquer une irrégularité quant à son droit de porter plainte (cf. ATF 128 IV 92 consid. 4c p. 96). Dans cette mesure, le recourant est légitimé à se plaindre d'une violation des art. 28 à 31 aCP.</w:t>
      </w:r>
    </w:p>
    <w:p>
      <w:r>
        <w:rPr>
          <w:b/>
        </w:rPr>
        <w:t>E. 2.1</w:t>
      </w:r>
    </w:p>
    <w:p>
      <w:r>
        <w:t>L'art. 27 al. 1 aCP prévoit que lorsqu'une infraction aura été commise et consommée sous forme de publication par un média, l'auteur seul sera punissable, sous réserve d'exceptions non réalisées dans le cas présent.</w:t>
      </w:r>
    </w:p>
    <w:p>
      <w:r>
        <w:t>Aux termes de l'art. 29 aCP, le droit de porter plainte se prescrit par trois mois. Le délai court du jour où l'ayant droit a connu l'auteur de l'infraction. La jurisprudence admet que celui qui connaît l'auteur d'un article de presse dont il estime qu'il porte atteinte à son honneur doit, pour former une plainte valable, l'y désigner expressément ( ATF 97 IV 153 consid. 3c p. 158 s.).</w:t>
      </w:r>
    </w:p>
    <w:p>
      <w:r>
        <w:rPr>
          <w:b/>
        </w:rPr>
        <w:t>E. 2.2</w:t>
      </w:r>
    </w:p>
    <w:p>
      <w:r>
        <w:t>Selon les constatations cantonales, le recourant connaissait l'identité des auteurs des articles incriminés, puisque leurs noms étaient clairement mentionnés dans le journal. Il avait dès lors la possibilité d'indiquer d'entrée de cause qu'il entendait poursuivre ces personnes. Or, dans sa lettre du 15 août 2006, il n'a dirigé sa plainte que contre B.________, respectivement son rédacteur en chef, A.________. Sa volonté de poursuivre cette personne ressort clairement de son courrier du 13 décembre 2006 dans lequel il précise que c'est contre le rédacteur en chef qu'il a déposé sa plainte, dans la mesure où "il lui paraîtrait normal que celui-ci soit finalement responsable des écrits de son journal"; elle résulte également des déclarations qu'il a faites lors des débats du 22 mai 2007. Ce n'est finalement que le 13 décembre 2006, soit postérieurement à l'échéance du délai légal de trois mois, qu'il a indiqué, pour la première fois, que sa plainte visait également les auteurs des articles contestés.</w:t>
      </w:r>
    </w:p>
    <w:p>
      <w:r>
        <w:t>Partant, faute pour le recourant d'avoir précisé sa volonté de poursuivre les auteurs des articles litigieux dans le délai légal de trois mois, les juges cantonaux n'ont pas violé le droit fédéral en admettant que la plainte déposée à l'encontre des intimés était tardive. Ils ont au contraire suivi la jurisprudence précitée, au sujet de laquelle le recourant ne saurait valablement invoquer un formalisme excessif, ni plaider l'abus de droit. En effet, si un plaignant connaît l'auteur d'un article de presse qu'il juge attentatoire à son honneur, il n'est pas excessif, ni abusif, d'exiger de lui qu'il le désigne alors expressément dans sa plainte; il n'appartient pas au juge de suppléer à sa volonté.</w:t>
      </w:r>
    </w:p>
    <w:p>
      <w:r>
        <w:rPr>
          <w:b/>
        </w:rPr>
        <w:t>E. 3</w:t>
      </w:r>
    </w:p>
    <w:p>
      <w:r>
        <w:t>Le recours est ainsi rejeté. Comme ses conclusions étaient vouées à l'échec, l'assistance judiciaire ne peut être accordée ( art. 64 al. 1 LTF ) et le recourant, qui succombe, supportera les frais ( art. 66 al. 1 LTF ), fixés en fonction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