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505/2023 vom 15. Mai 2023</w:t>
      </w:r>
    </w:p>
    <w:p>
      <w:r>
        <w:t>Bundesgericht, 2023-05-15, DE</w:t>
      </w:r>
    </w:p>
    <w:p>
      <w:r>
        <w:rPr>
          <w:b/>
        </w:rPr>
        <w:t xml:space="preserve">Quelle: </w:t>
      </w:r>
      <w:r>
        <w:t>https://mcp.opencaselaw.ch/entscheid/bger_6B_505_2023</w:t>
      </w:r>
    </w:p>
    <w:p>
      <w:r>
        <w:t>FR: TF 6B 505/2023 du 15 mai 2023</w:t>
      </w:r>
    </w:p>
    <w:p>
      <w:r>
        <w:t>IT: TF 6B 505/2023 del 15 maggio 2023</w:t>
      </w:r>
    </w:p>
    <w:p>
      <w:pPr>
        <w:pStyle w:val="Heading2"/>
      </w:pPr>
      <w:r>
        <w:t>Regeste</w:t>
      </w:r>
    </w:p>
    <w:p>
      <w:r>
        <w:t>Strafbefehl, Verfahrenskosten; Nichteintreten | Strafprozess</w:t>
      </w:r>
    </w:p>
    <w:p>
      <w:pPr>
        <w:pStyle w:val="Heading2"/>
      </w:pPr>
      <w:r>
        <w:t>Erwägungen</w:t>
      </w:r>
    </w:p>
    <w:p>
      <w:r>
        <w:rPr>
          <w:b/>
        </w:rPr>
        <w:t>E. 1</w:t>
      </w:r>
    </w:p>
    <w:p>
      <w:r>
        <w:t>Der Beschwerdeführer erhebt beim Bundesgericht Beschwerde gegen einen Entscheid des Appellationsgerichts des Kantons Basel-Stadt vom 27. Januar 2023.</w:t>
      </w:r>
    </w:p>
    <w:p>
      <w:r>
        <w:rPr>
          <w:b/>
        </w:rPr>
        <w:t>E. 2</w:t>
      </w:r>
    </w:p>
    <w:p>
      <w:r>
        <w:t>Bei der im Verfahren vor Bundesgericht eingereichten Beschwerdeschrift handelt es sich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deshalb mit separater Verfügung vom 21. April 2023 aufgefordert, den Formmangel der fehlenden eigenhändigen Unterschrift gemäss Art. 42 Abs. 5 BGG zu beheben, ansonsten die Beschwerdeschrift unbeachtet bleibe. Der Beschwerdeführer kam dieser Aufforderung nicht nach und behob den Mangel nicht. Auf die Beschwerde ist folglich schon aus diesem Grund im Verfahren nach Art. 108 BGG androhungsgemäss nicht einzutreten.</w:t>
      </w:r>
    </w:p>
    <w:p>
      <w:r>
        <w:rPr>
          <w:b/>
        </w:rPr>
        <w:t>E. 3</w:t>
      </w:r>
    </w:p>
    <w:p>
      <w:r>
        <w:t>Abgesehen davon wäre die Beschwerde auch deshalb unzulässig, weil sie den Begründungsanforderungen gemäss Art. 42 Abs. 2 BGG nicht genügt. 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 Die Vorinstanz tritt in einer Hauptbegründung (vorinstanzlicher Entscheid S. 3 f.) auf die Beschwerde nicht ein. Der Beschwerdeführer befasst sich damit vor Bundesgericht nicht ansatzweise. Erweist sich die Beschwerde bereits in Bezug auf die vorinstanzliche Hauptbegründung als ungenügend im Sinne von Art. 42 Abs. 2 BGG , muss sich das Bundesgericht mit der Eventualbegründung der Vorinstanz, wonach die Beschwerde im Falle ihres Eintretens hätte abgewiesen werden müssen (vorinstanzlicher Entscheid S. 4 f.), nicht mehr befassen.</w:t>
      </w:r>
    </w:p>
    <w:p>
      <w:r>
        <w:rPr>
          <w:b/>
        </w:rPr>
        <w:t>E. 4</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