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505/2022 vom 20. Juni 2022</w:t>
      </w:r>
    </w:p>
    <w:p>
      <w:r>
        <w:t>Bundesgericht, 2022-06-20, DE</w:t>
      </w:r>
    </w:p>
    <w:p>
      <w:r>
        <w:rPr>
          <w:b/>
        </w:rPr>
        <w:t xml:space="preserve">Quelle: </w:t>
      </w:r>
      <w:r>
        <w:t>https://mcp.opencaselaw.ch/entscheid/bger_6B_505_2022</w:t>
      </w:r>
    </w:p>
    <w:p>
      <w:r>
        <w:t>FR: TF 6B 505/2022 du 20 juin 2022</w:t>
      </w:r>
    </w:p>
    <w:p>
      <w:r>
        <w:t>IT: TF 6B 505/2022 del 20 giugno 2022</w:t>
      </w:r>
    </w:p>
    <w:p>
      <w:pPr>
        <w:pStyle w:val="Heading2"/>
      </w:pPr>
      <w:r>
        <w:t>Regeste</w:t>
      </w:r>
    </w:p>
    <w:p>
      <w:r>
        <w:t>Strafbefehl (Übertretung der COVID-19-Verordnung), unentschuldigtes Fernbleiben von der Hauptverhandlung; Rechtsverweigerung, Willkür etc.; Nichteintreten | Strafprozess</w:t>
      </w:r>
    </w:p>
    <w:p>
      <w:pPr>
        <w:pStyle w:val="Heading2"/>
      </w:pPr>
      <w:r>
        <w:t>Erwägungen</w:t>
      </w:r>
    </w:p>
    <w:p>
      <w:r>
        <w:rPr>
          <w:b/>
        </w:rPr>
        <w:t>E. 1</w:t>
      </w:r>
    </w:p>
    <w:p>
      <w:r>
        <w:t>A.________erhob Beschwerde gegen den Entscheid des Einzelgerichts des Appellationsgerichts des Kantons Basel-Stadt vom 14. März 2022.</w:t>
      </w:r>
    </w:p>
    <w:p>
      <w:r>
        <w:rPr>
          <w:b/>
        </w:rPr>
        <w:t>E. 2</w:t>
      </w:r>
    </w:p>
    <w:p>
      <w:r>
        <w:t>Die Partei, die das Bundesgericht anruft, hat einen Kostenvorschuss zu bezahlen ( Art. 62 Abs. 1 BGG ).</w:t>
      </w:r>
    </w:p>
    <w:p>
      <w:r>
        <w:rPr>
          <w:b/>
        </w:rPr>
        <w:t>E. 3</w:t>
      </w:r>
    </w:p>
    <w:p>
      <w:r>
        <w:t>Dem Beschwerdeführer wurde mit Verfügung vom 19. April 2022 Frist bis zum 4. Mai 2022 und mit Verfügung vom 13. Mai 2022 die gesetzlich vorgeschriebene Nachfrist bis zum 27. Mai 2022 angesetzt, um dem Bundesgericht einen Kostenvorschuss von Fr. 800.-- zu leisten, unter Androhung, dass ansonsten auf das Rechtsmittel nicht eingetreten werde (vgl. Art. 62 Abs. 3 BGG ). Beide Verfügungen konnten an die vom Beschwerdeführer bezeichnete Adresse zugestellt werden.</w:t>
      </w:r>
    </w:p>
    <w:p>
      <w:r>
        <w:rPr>
          <w:b/>
        </w:rPr>
        <w:t>E. 4</w:t>
      </w:r>
    </w:p>
    <w:p>
      <w:r>
        <w:t>Da der Kostenvorschuss auch innert Nachfrist nicht geleistet wurde, ist auf die Beschwerde androhungsgemäss im Verfahren nach Art. 108 BGG nicht einzutreten. Darüber hinaus wäre auf die Beschwerde auch deshalb nicht einzutreten, weil sie eine inhaltliche Auseinandersetzung mit dem angefochtenen Entscheid vermissen lässt und damit den gesetzlichen Begründungsanforderungen offensichtlich nicht genügt ( Art. 42 Abs. 2 und Art. 106 Abs. 2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