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6B_504/2024 vom 30. April 2025</w:t>
      </w:r>
    </w:p>
    <w:p>
      <w:r>
        <w:t>Bundesgericht, 2025-04-30, DE</w:t>
      </w:r>
    </w:p>
    <w:p>
      <w:r>
        <w:rPr>
          <w:b/>
        </w:rPr>
        <w:t xml:space="preserve">Quelle: </w:t>
      </w:r>
      <w:r>
        <w:t>https://mcp.opencaselaw.ch/entscheid/bger_6B_504_2024</w:t>
      </w:r>
    </w:p>
    <w:p>
      <w:r>
        <w:t>FR: TF 6B_504/2024 du 30 avril 2025</w:t>
      </w:r>
    </w:p>
    <w:p>
      <w:r>
        <w:t>IT: TF 6B_504/2024 del 30 aprile 2025</w:t>
      </w:r>
    </w:p>
    <w:p>
      <w:pPr>
        <w:pStyle w:val="Heading2"/>
      </w:pPr>
      <w:r>
        <w:t>Erwägungen</w:t>
      </w:r>
    </w:p>
    <w:p>
      <w:r>
        <w:rPr>
          <w:b/>
        </w:rPr>
        <w:t>E. 1.1</w:t>
      </w:r>
    </w:p>
    <w:p>
      <w:r>
        <w:t>Der Beschwerdeführer wendet sich gegen den Schuldspruch wegen grober Verkehrsregelverletzung und macht geltend, den subjektiven Tatbestand von Art. 90 Abs. 2 SVG nicht erfüllt zu haben.</w:t>
      </w:r>
    </w:p>
    <w:p>
      <w:r>
        <w:rPr>
          <w:b/>
        </w:rPr>
        <w:t>E. 1.2</w:t>
      </w:r>
    </w:p>
    <w:p>
      <w:r>
        <w:t>Die Vorinstanz erwägt zusammengefasst, angesichts der örtlichen Gegebenheiten habe der Beschwerdeführer eine Gefährdung anderer Verkehrsteilnehmer pflichtwidrig nicht in Betracht gezogen, als er das Motorrad beschleunigt habe. Besondere Umstände, welche sein Verhalten in einem milderen Licht erscheinen lassen würden, lägen nicht vor. Ihm sei damit Rücksichtslosigkeit im Sinne der bundesgerichtlichen Rechtsprechung beziehungsweise grobfahrlässiges Handeln vorzuwerfen. Der subjektive Tatbestand von Art. 90 Abs. 2 SVG sei erfüllt.</w:t>
      </w:r>
    </w:p>
    <w:p>
      <w:r>
        <w:rPr>
          <w:b/>
        </w:rPr>
        <w:t>E. 1.3.1</w:t>
      </w:r>
    </w:p>
    <w:p>
      <w:r>
        <w:t>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 BGE 142 IV 93 E. 3.1; 131 IV 133 E. 3.2; Urteile 6B_926/2024 vom 17. Dezember 2024 E. 2.1.2; 6B_180/2023 vom 27. Juni 2024 E. 3.2; 6B_466/2022 vom 9. September 2022 E. 2.3.1; je mit Hinweisen).</w:t>
      </w:r>
    </w:p>
    <w:p>
      <w:r>
        <w:t>Subjektiv erfordert der Tatbestand ein rücksichtsloses oder sonst schwerwiegend verkehrsregelwidriges Verhalten, das heisst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Verletzung von Verkehrsregeln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Urteile 6B_926/2024 vom 17. Dezember 2024 E. 2.1.2; 6B_180/2023 vom 27. Juni 2024 E. 3.2; 6B_466/2022 vom 9. September 2022 E. 2.3.1;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(Urteile 6B_1005/2023 vom 10. März 2025 E. 2.3.1; 6B_272/2023 vom 2. Oktober 2024 E. 1.3.1; 6B_180/2023 vom 27. Juni 2024 E. 3.2; je mit Hinweisen).</w:t>
      </w:r>
    </w:p>
    <w:p>
      <w:r>
        <w:rPr>
          <w:b/>
        </w:rPr>
        <w:t>E. 1.3.2</w:t>
      </w:r>
    </w:p>
    <w:p>
      <w:r>
        <w:t>Nach ständiger Rechtsprechung sind die objektiven - und grundsätzlich auch die subjektiven - Voraussetzungen der groben Verkehrsregelverletzung ( Art. 90 Abs. 2 SVG ) ungeachtet der konkreten Umstände zu bejahen, wenn die zulässige Höchstgeschwindigkeit innerorts um 25 km/h oder mehr überschritten wird ( BGE 150 IV 242 E. 1.1.1; 143 IV 508 E. 1.3). Aufgrund der erhöhten Gefahrenlage gilt dies auch bei atypischen Innerortsstrecken (Urteile 6B_180/2023 vom 27. Juni 2024 E. 3.2; 6B_55/2024 vom 11. März 2024 E. 2.3; 6B_236/2022 vom 5. September 2022 E. 2.1; je mit Hinweisen).</w:t>
      </w:r>
    </w:p>
    <w:p>
      <w:r>
        <w:rPr>
          <w:b/>
        </w:rPr>
        <w:t>E. 1.3.3</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w:t>
      </w:r>
    </w:p>
    <w:p>
      <w:r>
        <w:rPr>
          <w:b/>
        </w:rPr>
        <w:t>E. 1.4</w:t>
      </w:r>
    </w:p>
    <w:p>
      <w:r>
        <w:t>Die Vorinstanz verletzt kein Bundesrecht, wenn sie das Verhalten des Beschwerdeführers als grobfahrlässig einstuft.</w:t>
      </w:r>
    </w:p>
    <w:p>
      <w:r>
        <w:rPr>
          <w:b/>
        </w:rPr>
        <w:t>E. 1.4.1</w:t>
      </w:r>
    </w:p>
    <w:p>
      <w:r>
        <w:t>Soweit sich der Beschwerdeführer mit seinen Rügen gegen die Feststellungen der Vorinstanz zum betreffenden Strassenabschnitt richtet, dringt er damit nicht durch. Anders als von ihm dargestellt, kommt es für die Beurteilung seines Verhaltens nicht nur darauf an, wie sich die Umstände von der Messstelle bis zum Aufhebungsschild präsentieren. Entscheidend sind vielmehr die Verhältnisse auf der gesamten fraglichen Strecke, sodass die vorinstanzlichen Feststellungen zu den örtlichen Gegebenheiten nicht zu beanstanden sind. Ebenso wenig überzeugen die Vorbringen des Beschwerdeführers zum Standort der Messstelle. Die Feststellung der Vorinstanz, er habe "inmitten" einer Innerortsstrecke auf 80 km/h beschleunigt, ist nämlich unabhängig davon, ob sich das Messgerät (wie von ihm geltend gemacht) 84 oder (wie sich aus den Akten ergeben soll) 120 Meter vor der Aufhebung der Geschwindigkeitsbeschränkung befunden haben soll, nicht offensichtlich unrichtig. Eine Verletzung des Willkürverbots ( Art. 9 BV ) liegt nicht vor.</w:t>
      </w:r>
    </w:p>
    <w:p>
      <w:r>
        <w:rPr>
          <w:b/>
        </w:rPr>
        <w:t>E. 1.4.2</w:t>
      </w:r>
    </w:p>
    <w:p>
      <w:r>
        <w:t>Sodann ist nicht ersichtlich, weshalb die Vorinstanz vorliegend von entlastenden Umständen im Sinne der Rechtsprechung hätte ausgehen sollen. Eine konkrete Gefährdung anderer wird zur Erfüllung des Tatbestands von Art. 90 Abs. 2 SVG nicht verlangt (vgl. dazu E. 1.3.1), sodass im Fehlen einer solchen Gefahr entgegen dem Vorbringen des Beschwerdeführers kein besonderer Umstand zu sehen ist. Wie in E. 1.3.2 ausgeführt, wirkt zudem nicht entlastend, dass die Messung seiner Meinung nach in einem atypischen Innerortsbereich stattgefunden haben soll. Dass er sich ausserorts gewähnt hätte, macht er vor Bundesgericht nicht geltend; er führt lediglich an, auf den ersten Blick dürfte "jeder gewissenhafte Verkehrsteilnehmer" den Messbereich als Ausserortsstrecke wahrnehmen, weshalb es sich dabei um einen atypischen Innerortsabschnitt handle. Dieser Einwand ist, wie soeben ausgeführt, unbehelflich. Auch das Vorbringen, er habe den "relevanten Schwellenwert" des Bundesgerichts "nur" um 1 km/h überschritten und die Messung sei "nur gerade 84 Meter" vor Aufhebung der Geschwindigkeitsbeschränkung erfolgt, lässt das Verhalten des Beschwerdeführers nicht in einem milderen Licht erscheinen. Verkehrsregeln sind in ihrem gesamten Geltungsbereich uneingeschränkt einzuhalten.</w:t>
      </w:r>
    </w:p>
    <w:p>
      <w:r>
        <w:rPr>
          <w:b/>
        </w:rPr>
        <w:t>E. 2</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