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504/2015 vom 30. Juni 2015</w:t>
      </w:r>
    </w:p>
    <w:p>
      <w:r>
        <w:t>Bundesgericht, 2015-06-30, DE</w:t>
      </w:r>
    </w:p>
    <w:p>
      <w:r>
        <w:rPr>
          <w:b/>
        </w:rPr>
        <w:t xml:space="preserve">Quelle: </w:t>
      </w:r>
      <w:r>
        <w:t>https://mcp.opencaselaw.ch/entscheid/bger_6B_504_2015</w:t>
      </w:r>
    </w:p>
    <w:p>
      <w:r>
        <w:t>FR: TF 6B 504/2015 du 30 juin 2015</w:t>
      </w:r>
    </w:p>
    <w:p>
      <w:r>
        <w:t>IT: TF 6B 504/2015 del 30 giugno 2015</w:t>
      </w:r>
    </w:p>
    <w:p>
      <w:pPr>
        <w:pStyle w:val="Heading2"/>
      </w:pPr>
      <w:r>
        <w:t>Regeste</w:t>
      </w:r>
    </w:p>
    <w:p>
      <w:r>
        <w:t>Nichtanhandnahme (Verleumdung usw.) | Strafprozess</w:t>
      </w:r>
    </w:p>
    <w:p>
      <w:pPr>
        <w:pStyle w:val="Heading2"/>
      </w:pPr>
      <w:r>
        <w:t>Erwägungen</w:t>
      </w:r>
    </w:p>
    <w:p>
      <w:r>
        <w:rPr>
          <w:b/>
        </w:rPr>
        <w:t>E. 1</w:t>
      </w:r>
    </w:p>
    <w:p>
      <w:r>
        <w:t>Oberstaatsanwaltschaft des Kantons Zürich, Florhofgasse 2, 8090 Zürich,</w:t>
      </w:r>
    </w:p>
    <w:p>
      <w:r>
        <w:rPr>
          <w:b/>
        </w:rPr>
        <w:t>E. 2</w:t>
      </w:r>
    </w:p>
    <w:p>
      <w:r>
        <w:t>In einer Beschwerde ans Bundesgericht ist unter Bezugnahme auf den angefochtenen Entscheid darzulegen, inwieweit dieser gegen das Recht im Sinne von Art. 95 BGG verstossen soll ( Art. 42 Abs. 2 BGG ). Dabei muss sich der Beschwerdeführer in der Beschwerde auf den Entscheid der letzten kantonalen Instanz beziehen, weil nur dieser Gegenstand einer Beschwerde ans Bundesgericht sein kann ( Art. 80 Abs. 1 BGG ). Diesen Begründungsanforderungen genügt die Beschwerdeeingabe nicht. Der Beschwerdeführer kritisiert die Nichtanhandnahmeverfügung der Staatsanwaltschaft und zählt auf, was diese seiner Ansicht nach alles falsch gemacht hat. Mit den Erwägungen des vorinstanzlichen Entscheids befasst er sich hingegen nicht. Ebenso wenig äussert er sich zu seiner Beschwerdelegitimation als Privatkläger nach Art. 81 Abs. 1 lit. b Ziff. 5 BGG (vgl. BGE 141 IV 1 E. 1.1 mit Hinweisen). Auf die Beschwerde ist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