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502/2009 vom 7. September 2009</w:t>
      </w:r>
    </w:p>
    <w:p>
      <w:r>
        <w:t>Bundesgericht, 2009-09-07, FR</w:t>
      </w:r>
    </w:p>
    <w:p>
      <w:r>
        <w:rPr>
          <w:b/>
        </w:rPr>
        <w:t xml:space="preserve">Quelle: </w:t>
      </w:r>
      <w:r>
        <w:t>https://mcp.opencaselaw.ch/entscheid/bger_6B_502_2009</w:t>
      </w:r>
    </w:p>
    <w:p>
      <w:r>
        <w:t>FR: TF 6B 502/2009 du 7 septembre 2009</w:t>
      </w:r>
    </w:p>
    <w:p>
      <w:r>
        <w:t>IT: TF 6B 502/2009 del 7 settembre 2009</w:t>
      </w:r>
    </w:p>
    <w:p>
      <w:pPr>
        <w:pStyle w:val="Heading2"/>
      </w:pPr>
      <w:r>
        <w:t>Regeste</w:t>
      </w:r>
    </w:p>
    <w:p>
      <w:r>
        <w:t>Faux dans les titres | Infractions</w:t>
      </w:r>
    </w:p>
    <w:p>
      <w:pPr>
        <w:pStyle w:val="Heading2"/>
      </w:pPr>
      <w:r>
        <w:t>Erwägungen</w:t>
      </w:r>
    </w:p>
    <w:p>
      <w:r>
        <w:rPr>
          <w:b/>
        </w:rPr>
        <w:t>E. 1</w:t>
      </w:r>
    </w:p>
    <w:p>
      <w:r>
        <w:t>Le recourant soutient que la constatation cantonale selon laquelle c'est le contrat de vente qui justifiait l'octroi du "rabais autorité" et permettait la rétrocession d'une partie de ce rabais au concessionaire repose sur une appréciation arbitraire des preuves.</w:t>
      </w:r>
    </w:p>
    <w:p>
      <w:r>
        <w:rPr>
          <w:b/>
        </w:rPr>
        <w:t>E. 1.1</w:t>
      </w:r>
    </w:p>
    <w:p>
      <w:r>
        <w:t>De jurisprudence constante, une décision, respectivement une appréciation, n'est pas arbitraire du seul fait qu'elle apparaît discutable ou même critiquable. Il faut qu'elle soit manifestement insoutenable ou, autrement dit, absolument inadmissible, et cela non seulement dans sa motivation mais dans son résultat ( ATF 134 I 140 consid. 5.4 p. 148; 133 I 149 consid. 3.1 p. 153 et les arrêts cités). Sous peine d'irrecevabilité, l'arbitraire allégué doit par ailleurs être démontré conformément aux exigences de motivation de l' art. 106 al. 2 LTF (cf. ATF 133 IV 286 consid. 1.4 p. 287).</w:t>
      </w:r>
    </w:p>
    <w:p>
      <w:r>
        <w:rPr>
          <w:b/>
        </w:rPr>
        <w:t>E. 1.2</w:t>
      </w:r>
    </w:p>
    <w:p>
      <w:r>
        <w:t>Le recourant se prévaut de déclarations faites par le témoin E.________ lors de son audition du 5 avril 2006 par le juge d'instruction ainsi que d'un courrier de F.________ Suisse SA du 8 août 2007, adressé à son mandataire. Il allègue que ces pièces attestent clairement de ce que seul le permis de circulation était déterminant pour l'octroi du rabais par F.________ Suisse SA et pour que cette dernière lui rétrocède ensuite une partie de ce rabais, la facture et le contrat de vente n'ayant de valeur que pour la facturation interne.</w:t>
      </w:r>
    </w:p>
    <w:p>
      <w:r>
        <w:rPr>
          <w:b/>
        </w:rPr>
        <w:t>E. 1.3</w:t>
      </w:r>
    </w:p>
    <w:p>
      <w:r>
        <w:t>Pour admettre que c'est le contrat de vente, et non le permis de circulation qui était déterminant, la cour cantonale s'est fondée sur un ensemble d'indices. Elle a d'abord relevé qu'il ressortait des déterminations de B.________, successeur de A.________ comme commandant de la police cantonale, que seul le contrat de vente passé au nom de cette dernière permettait d'obtenir le "rabais autorité". Elle a en outre relevé que A.________ avait précisé que les contrats de vente ne servaient qu'à F.________ Suisse SA, sans être contredit par le recourant, qui avait par ailleurs admis que ces contrats valaient commandes pour obtenir la rétrocession du rabais et qu'il les avait transmis, avec les autres documents, à F.________ Suisse SA. Elle a encore observé que E.________, s'il avait certes déclaré que le permis de circulation établi au nom de l'autorité constituait la preuve qu'il s'agissait d'un véhicule de la police et que la rétrocession au concessionnaire pouvait avoir lieu, avait ajouté que la facture et le contrat signé étaient néanmoins indispensables pour que F.________ Suisse SA sache qu'un "rabais autorité" allait être accordé. Elle s'est aussi fondée sur le "Règlement concernant le concept de vente, ventes spéciales" de F.________ Suisse SA. A cet égard, elle a constaté que le chiffre 6.1 de ce règlement prescrivait que le concessionnaire devait produire la copie de la commande de l'autorité, donc le contrat de vente, la copie de la facture client et le permis de circulation du véhicule et qu'il précisait que le "rabais autorité" ne s'appliquait que lorsque les véhicules avaient été "commandés, payés et immatriculés au nom du correspondant". Enfin, analysant le courrier de F.________ Suisse SA du 8 août 2007, elle a constaté que ce document, adressé au mandataire du recourant suite à une demande de ce dernier non versée au dossier, avait en réalité trait au "rabais pour parc de véhicules", et non au "rabais autorité" tel que prévu par le chiffre 6.1 du "Règlement concernant le concept de vente, ventes spéciales", applicable à l'époque des faits et avec lequel il était en contradiction quant au rabais accordé à la police, le montant du rabais indiqué dans ce courrier, soit 5% au maximum, étant d'ailleurs différent de ceux, de 18 % sur la voiture et de 15 % sur les options, prévus par le règlement précité.</w:t>
      </w:r>
    </w:p>
    <w:p>
      <w:r>
        <w:rPr>
          <w:b/>
        </w:rPr>
        <w:t>E. 1.4</w:t>
      </w:r>
    </w:p>
    <w:p>
      <w:r>
        <w:t>Le recourant n'établit pas, conformément aux exigences de motivation de l' art. 106 al. 2 LTF , que cette appréciation serait arbitraire, au sens défini par la jurisprudence. Il ne conteste pas les déclarations de B.________ et de A.________, ni les siennes propres, sur lesquelles s'est fondée la cour cantonale et, à plus forte raison, n'en démontre pas d'appréciation manifestement insoutenable. S'agissant des déclarations de E.________, il se borne à rappeler celles qui vont dans le sens de sa thèse, en passant sous silence celles qui viennent la relativiser. De même, il se borne à se prévaloir du courrier de F.________ Suisse SA du 8 août 2007, sans aucunement démontrer que la cour cantonale en aurait fait une interprétation absolument inadmissible, notamment qu'elle aurait admis de manière totalement indéfendable que ce courrier a en réalité trait à un autre type de rabais. Il ne démontre pas plus qu'il était manifestement insoutenable de se fonder sur le "Règlement concernant le concept de vente, ventes spéciales" de F.________ Suisse SA, en particulier sur le chiffre 6.1 de ce règlement, ni que la cour cantonale en aurait tiré des conclusions inadmissibles, notamment en retenant qu'en vertu de cette clause le concessionnaire doit produire, outre une copie de la facture et le permis de circulation, une copie de la commande de l'autorité, soit du contrat de vente, et que le "rabais autorité" ne s'applique qu'à cette condition. Il ne conteste même pas ce raisonnement. Au reste, le recourant allègue vainement, dans le cadre de son grief de violation de l' art. 251 CP , que deux des contrats n'étaient pas en possession de F.________ Suisse SA. Il n'est pas pour autant démontré que, sauf arbitraire, il fallait en déduire que ces contrats n'ont jamais été transmis à celle-ci et, à supposer qu'ils ne l'aient pas été, qu'il fallait en conclure que, nonobstant le prescrit du ch. 6.1 du "Règlement concernant le concept de vente, ventes spéciales", ils n'avaient pas à l'être pour que le "rabais autorité" puisse être accordé. Il n'est ainsi nullement établi à satisfaction de droit que, sur la base des divers éléments de preuve retenus, il était manifestement insoutenable d'admettre que ce sont les contrats de vente, et non les permis de circulation, qui étaient déterminants pour l'octroi du "rabais autorité" et la rétrocession ultérieure d'une partie de ce dernier au recourant. Le grief est par conséquent irrecevable, faute de motivation suffisante.</w:t>
      </w:r>
    </w:p>
    <w:p>
      <w:r>
        <w:rPr>
          <w:b/>
        </w:rPr>
        <w:t>E. 2</w:t>
      </w:r>
    </w:p>
    <w:p>
      <w:r>
        <w:t>Le recourant invoque une violation de l' art. 251 CP . Il conteste que les contrats litigieux puissent être considérés comme des faux intellectuels. Il soutient en outre que l'élément subjectif de l'infraction en cause n'est pas réalisé.</w:t>
      </w:r>
    </w:p>
    <w:p>
      <w:r>
        <w:rPr>
          <w:b/>
        </w:rPr>
        <w:t>E. 2.1</w:t>
      </w:r>
    </w:p>
    <w:p>
      <w:r>
        <w:t>Le recourant a établi et signé, en tant que vendeur, des contrats portant sur la vente de véhicules. Il n'a donc pas fabriqué un titre faux ou falsifié un titre, par l'apposition d'une fausse signature ou la modification d'un titre établi par un tiers, de sorte qu'on ne se trouve pas en présence de faux matériels. Le contenu des contrats était toutefois mensonger, dans la mesure où il y était indiqué que les véhicules étaient achetés par la police cantonale, alors qu'ils l'étaient par le commandant de cette dernière, par un membre de sa famille ou encore par un fonctionnaire de police. Il y a donc lieu d'examiner si les contrats litigieux avaient une capacité accrue de convaincre, justifiant de les considérer comme des faux intellectuels.</w:t>
      </w:r>
    </w:p>
    <w:p>
      <w:r>
        <w:rPr>
          <w:b/>
        </w:rPr>
        <w:t>E. 2.2</w:t>
      </w:r>
    </w:p>
    <w:p>
      <w:r>
        <w:t>Selon la jurisprudence, un contrat établi en la forme écrite simple, dont le contenu ne retrace pas la réalité, ne peut en principe être considéré comme un faux intellectuel dans les titres. En effet, un tel contrat prouve que deux personnes ont fait, de manière concordante, une déclaration de volonté déterminée, mais ne prouve en revanche pas que les deux manifestations de volonté concordantes correspondent à la volonté réelle des parties. En particulier, il ne prouve pas l'absence de vices de la volonté ou l'inexistence d'une simulation. Ce n'est que s'il existe des garanties spéciales de ce que les déclarations concordantes des parties correspondent à leur volonté réelle, qu'un contrat en la forme écrite simple peut être qualifié de faux intellectuel dans les titres ( ATF 123 IV 61 consid. 5c/cc p. 68/69; 120 IV 25 consid. 3f p. 29; cf. aussi arrêts 6S.114/2004 consid. 3.2, 6S.375/2000 consid. 2b et 2c, 6S.244/1995 consid. 3b et les arrêts cités). Cela vaut aussi pour un contrat établi dans la forme écrite qualifiée prévue à l' art. 226a al. 2 CO , dès lors que les conditions de forme imposées par la loi en matière de vente par acomptes tendent avant tout à protéger le consommateur et n'ont donc pas pour but de garantir la véracité du contenu des déclarations des parties vis-à-vis des tiers (cf. arrêt 6S.244/1995 consid. 3b et les références citées).</w:t>
      </w:r>
    </w:p>
    <w:p>
      <w:r>
        <w:rPr>
          <w:b/>
        </w:rPr>
        <w:t>E. 2.3</w:t>
      </w:r>
    </w:p>
    <w:p>
      <w:r>
        <w:t>En l'espèce, outre les contrats de vente, étaient transmis à F.________ Suisse SA les permis de circulation et les factures, ce que prescrivait d'ailleurs le chiffre 6.1 du "Règlement concernant le concept de vente, ventes spéciales" de F.________ Suisse SA pour l'octroi d'un "rabais autorité", dont, le cas échéant, une partie était rétrocédée au concessionnaire. Les contrats, qui mentionnaient que l'acquéreur du véhicule était la police cantonale, portaient la signature du commandant de cette dernière, ce qui était de nature à fonder une confiance particulière dans la véracité de leur contenu, notamment quant au fait que les véhicules étaient effectivement achetés par la police, et propre à convaincre qu'une vérification n'était pas nécessaire. Les permis de circulation qui accompagnaient les contrats confortaient cette confiance, dans la mesure où il en résultait que les véhicules étaient immatriculés au nom de la police cantonale. Cette confiance était en outre renforcée par les factures, qui étaient établies au nom de la police cantonale. A cela s'ajoute que le recourant était le concessionnaire pour la région de F.________ Suisse SA, ce qui créait entre eux un lien particulier, propre à asseoir encore la confiance de celle-ci dans l'exactitude des documents qu'il lui transmettait. Les contrats litigieux avaient ainsi une capacité accrue de convaincre, résultant de la personne des cocontractants et du fait que les pièces produites parallèlement venaient en confirmer le contenu en ce qui concerne l'identité de l'acquéreur du véhicule, déterminante pour l'octroi du rabais. Dans ces conditions, leur qualification de faux intellectuels, à l'exclusion de simples mensonges écrits, ne viole pas le droit fédéral.</w:t>
      </w:r>
    </w:p>
    <w:p>
      <w:r>
        <w:rPr>
          <w:b/>
        </w:rPr>
        <w:t>E. 2.4</w:t>
      </w:r>
    </w:p>
    <w:p>
      <w:r>
        <w:t>Sur le plan subjectif, l'infraction réprimée par l' art. 251 CP suppose que l'auteur ait agi intentionnellement et dans un dessein spécial, qui peut se présenter sous deux formes alternatives, soit le dessein de porter atteinte aux intérêts pécuniaires ou aux droits d'autrui ou le dessein de se procurer ou de procurer à un tiers un avantage illicite.</w:t>
      </w:r>
    </w:p>
    <w:p>
      <w:r>
        <w:rPr>
          <w:b/>
        </w:rPr>
        <w:t>E. 2.4.1</w:t>
      </w:r>
    </w:p>
    <w:p>
      <w:r>
        <w:t>Il résulte clairement des faits retenus, dont aucun arbitraire sur ce point n'est démontré ni même allégué, que le recourant a, consciemment et volontairement, établi, signé et transmis à F.________ Suisse SA des contrats dont le contenu était faux quant à l'identité réelle des acheteurs des véhicules, en vu de l'octroi du "rabais autorité". Il a donc agi intentionnellement.</w:t>
      </w:r>
    </w:p>
    <w:p>
      <w:r>
        <w:rPr>
          <w:b/>
        </w:rPr>
        <w:t>E. 2.4.2</w:t>
      </w:r>
    </w:p>
    <w:p>
      <w:r>
        <w:t>En réalité, le recourant conteste surtout avoir agi dans le dessein spécial prévu à l' art. 251 CP . Son argumentation sur ce point repose toutefois largement sur l'allégation d'un fait non retenu et dont il n'a pas été établi qu'il aurait été écarté arbitrairement, à savoir que les contrats de vente n'étaient pas déterminants pour l'octroi du "rabais autorité" (cf. supra, consid. 1). Pour le surplus, c'est en vain que le recourant argue de ce que F.________ Suisse SA n'a pas subi de dommage, dès lors que l' art. 251 CP n'implique pas un dommage effectif, le dessein de porter atteinte aux intérêts pécuniaires ou aux droits d'autrui étant suffisant. Au demeurant, un tel dessein n'a été retenu qu'à titre subsidiaire, voire éventuel, par la cour cantonale. La réalisation de l'élément subjectif litigieux a en effet essentiellement été admise sur la base du constat que le recourant a agi dans le but de procurer à autrui un avantage illicite, du fait que le stratagème utilisé permettait aux acquéreurs réels des véhicules de bénéficier d'un rabais auquel ils n'avaient pas droit, et de se procurer à lui-même un avantage illicite, dans la mesure où une partie du rabais lui était rétrocédée. Or, ce raisonnement et la constatation de fait sur laquelle il repose ne sont en rien contestés dans le recours, de sorte qu'il n'y a pas lieu d'entrer en matière.</w:t>
      </w:r>
    </w:p>
    <w:p>
      <w:r>
        <w:rPr>
          <w:b/>
        </w:rPr>
        <w:t>E. 3</w:t>
      </w:r>
    </w:p>
    <w:p>
      <w:r>
        <w:t>Le recours doit ainsi être rejeté dans la mesure où il est recevable. Le recourant, qui succombe, devra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