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500/2014 vom 29. Dezember 2014</w:t>
      </w:r>
    </w:p>
    <w:p>
      <w:r>
        <w:t>Bundesgericht, 2014-12-29, FR</w:t>
      </w:r>
    </w:p>
    <w:p>
      <w:r>
        <w:rPr>
          <w:b/>
        </w:rPr>
        <w:t xml:space="preserve">Quelle: </w:t>
      </w:r>
      <w:r>
        <w:t>https://mcp.opencaselaw.ch/entscheid/bger_6B_500_2014</w:t>
      </w:r>
    </w:p>
    <w:p>
      <w:r>
        <w:t>FR: TF 6B 500/2014 du 29 décembre 2014</w:t>
      </w:r>
    </w:p>
    <w:p>
      <w:r>
        <w:t>IT: TF 6B 500/2014 del 29 dicembre 2014</w:t>
      </w:r>
    </w:p>
    <w:p>
      <w:pPr>
        <w:pStyle w:val="Heading2"/>
      </w:pPr>
      <w:r>
        <w:t>Regeste</w:t>
      </w:r>
    </w:p>
    <w:p>
      <w:r>
        <w:t>Fixation de la peine (infraction à la LStup) | Droit pénal (en général)</w:t>
      </w:r>
    </w:p>
    <w:p>
      <w:pPr>
        <w:pStyle w:val="Heading2"/>
      </w:pPr>
      <w:r>
        <w:t>Erwägungen</w:t>
      </w:r>
    </w:p>
    <w:p>
      <w:r>
        <w:rPr>
          <w:b/>
        </w:rPr>
        <w:t>E. 1</w:t>
      </w:r>
    </w:p>
    <w:p>
      <w:r>
        <w:t>Le recourant reproche à l'autorité cantonale d'avoir violé l' art. 25 CP en considérant que son rôle dans le cadre des deux transports de cocaïne à l'origine de la procédure a été déterminant au point qu'il doive être considéré comme un coauteur et non un complice.</w:t>
      </w:r>
    </w:p>
    <w:p>
      <w:r>
        <w:rPr>
          <w:b/>
        </w:rPr>
        <w:t>E. 1.1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120 IV 136 consid. 2b p. 141, 265 consid. 2c/aa p. 271 s. et les arrêts cités). La jurisprudence exige même que le coauteur ait une certaine maîtrise des opérations et que son rôle soit plus ou moins indispensable ( ATF 120 IV 17 consid. 2d p. 23; 136 consid. 2b p. 141; 265 consid. 2c/aa p. 271 s.; 118 IV 397 consid. 2b p. 399). Le complice est en revanche un participant secondaire qui « prête assistance pour commettre un crime ou un délit » ( art. 25 CP ).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 En matière d'infractions à l' art. 19 LStup , dès que le prévenu accomplit l'un des actes visés par cette disposition, il est l'auteur de l'infraction, une participation à un autre titre, telle une complicité, n'entrant pas en ligne de compte ( ATF 133 IV 187 consid. 3.2 p. 193).</w:t>
      </w:r>
    </w:p>
    <w:p>
      <w:r>
        <w:rPr>
          <w:b/>
        </w:rPr>
        <w:t>E. 1.2</w:t>
      </w:r>
    </w:p>
    <w:p>
      <w:r>
        <w:t>La cour cantonale a constaté que c'est le recourant qui a présenté la mule à A.________, qui lui avait proposé d'importer de la drogue en provenance du Brésil. Le recourant a par ailleurs joué le rôle d'interprète entre eux, A.________ maîtrisant mal le français. Il a été en contact régulier avec la mule lors des deux séjours que celle-ci a effectués à Sao Paulo, lui communiquant notamment les coordonnées de son vol de retour après que l'itinéraire et la compagnie aérienne ont été modifiées. Il a par ailleurs effectué deux transferts de 300 fr. chacun à destination du Brésil en faveur de la mule, de manière à lui fournir les moyens de subsister et lui permettre d'importer la drogue en Suisse. La cour cantonale a noté de surcroît que le bénéfice qu'il a tiré de l'opération est important puisqu'il a admis avoir vendu les 150 g de cocaïne reçus en contre-partie de sa participation au premier transfert sous forme de boulettes de 0,8 g au prix de 70 à 80 fr. l'unité, générant ainsi un profit de plus de 13'000 francs. C'est en vain que le recourant cherche à minimiser l'importance de son intervention en soutenant notamment que de nombreuses conversations téléphoniques ont eu lieu entre A.________ et la mule et que la drogue reçue en rémunération de son intervention était déjà coupée et donc d'une valeur moindre. En effet, ces éléments ne ressortent pas des constatations de l'autorité cantonale, qui lient le Tribunal fédéral conformément à l' art. 105 al. 1 LTF dès lors qu'il n'apparaît pas d'emblée qu'elles auraient été établies de façon manifestement inexacte ou en violation du droit ( art. 105 al. 2 LTF ) et que le recourant ne les remet pas en question au moyen d'une argumentation satisfaisant aux exigences de motivation accrues déduites de l' art. 106 al. 2 LTF . Sur la base des éléments retenus par la cour cantonale, il appert clairement que la participation du recourant à l'infraction a revêtu une importance primordiale puisque sans son intervention A.________ ne serait pas entré en contact avec la mule et ne serait pas parvenu à mettre sur pied les transports de drogue à l'origine de la procédure. C'est donc sans violer le droit fédéral que la cour cantonale a qualifié le recourant de coauteur.</w:t>
      </w:r>
    </w:p>
    <w:p>
      <w:r>
        <w:rPr>
          <w:b/>
        </w:rPr>
        <w:t>E. 2</w:t>
      </w:r>
    </w:p>
    <w:p>
      <w:r>
        <w:t>Le recourant reproche à la cour cantonale d'avoir violé l' art. 47 CP . Les règles générales régissant la fixation de la peine ont été rappelées dans les arrêts publiés aux ATF 136 IV 55 et 134 IV 17 (consid. 2.1 et les références citées). Il y a lieu d'y renvoyer en soulignant, d'une part, que l' art. 47 al. 1 CP appliqué dans ces cas reprend les principes qui prévalaient déjà sous l'empire de l'ancien droit ( ATF 134 IV 17 consid. 2.1 p. 19) et, d'autre part, que le juge dispose d'un large pouvoir d'appréciation. Ainsi, le Tribunal fédéral, qui examine l'ensemble de la question d'office ( art. 106 al. 1 LTF ), n'intervient que lorsque l'autorité cantonale a fait un usage vraiment insoutenable de la marge de manoeuvre que lui accorde le droit fédéral, s'il a fixé une peine qui sort du cadre légal, s'il s'est fondé sur des critères étrangers à l' art. 47 al. 1 CP ou si des éléments d'appréciation importants n'ont pas été pris en compte. Le recourant reproche à l'autorité cantonale d'avoir méconnu sa position au sein de l'organisation mise en place par A.________. Son argumentation tend une nouvelle fois à minimiser son implication dans le trafic. Elle est dans une large mesure incompatible avec les constatations de la cour cantonale et donc irrecevable. Pour le surplus, la cour cantonale n'est pas sortie du cadre légal et il n'appert ni qu'elle se serait fondée sur des critères non pertinents ni qu'elle aurait omis des éléments pertinents. Par ailleurs, eu égard notamment à la gravité de la faute du recourant, à ses très mauvais antécédents et au concours d'infractions, la peine qui lui a été infligée n'apparaît pas exagérément sévère au point de constituer un abus du large pouvoir d'appréciation dont dispose le juge. Le grief de violation de l' art. 47 CP doit être rejeté, dans la mesure de sa recevabilité.</w:t>
      </w:r>
    </w:p>
    <w:p>
      <w:r>
        <w:rPr>
          <w:b/>
        </w:rPr>
        <w:t>E. 3</w:t>
      </w:r>
    </w:p>
    <w:p>
      <w:r>
        <w:t>Le recours doit être rejeté dans la mesure où il est recevable. Comme les conclusions étaient vouées à l'échec, l'assistance judiciaire ne peut être accordée ( art. 64 al. 1 LTF ). Le recourant, qui succombe, supportera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