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49/2014 vom 10. September 2014</w:t>
      </w:r>
    </w:p>
    <w:p>
      <w:r>
        <w:t>Bundesgericht, 2014-09-10, FR</w:t>
      </w:r>
    </w:p>
    <w:p>
      <w:r>
        <w:rPr>
          <w:b/>
        </w:rPr>
        <w:t xml:space="preserve">Quelle: </w:t>
      </w:r>
      <w:r>
        <w:t>https://mcp.opencaselaw.ch/entscheid/bger_6B_49_2014</w:t>
      </w:r>
    </w:p>
    <w:p>
      <w:r>
        <w:t>FR: TF 6B 49/2014 du 10 septembre 2014</w:t>
      </w:r>
    </w:p>
    <w:p>
      <w:r>
        <w:t>IT: TF 6B 49/2014 del 10 settembre 2014</w:t>
      </w:r>
    </w:p>
    <w:p>
      <w:pPr>
        <w:pStyle w:val="Heading2"/>
      </w:pPr>
      <w:r>
        <w:t>Regeste</w:t>
      </w:r>
    </w:p>
    <w:p>
      <w:r>
        <w:t>Ordonnance de non-entrée en matière (calomnie et complicité de calomnie)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Les mêmes exigences sont requises à l'égard de celui qui se plaint d'infractions attentatoires à l'honneur, la jurisprudence rendue avant l'entrée en vigueur de la LTF (cf. ATF 121 IV 76 ) qui dispensait celui qui était lésé par une prétendue atteinte à l'honneur de faire valoir des prétentions civiles, n'a plus cours (arrêt 6B_94/2013 du 3 octobre 2013 consid. 1.1).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En l'espèce, le recourant soutient uniquement qu'il aurait "bien évidemment" des prétentions civiles à faire valoir contre l'intimé dans l'hypothèse où la procédure se poursuivrait dans la mesure où il se considère atteint dans son honneur et qu'il a des prétentions en réparation du tort moral subi. Il indique avoir été totalement anéanti par les déclarations des témoins à la procédure canonique dont il a été l'objet et par la motivation du décret issu de celle-ci. De telles affirmations qui ne sont étayées en aucune manière ne suffisent pas à satisfaire aux exigences de motivation requises. Le recourant n'explique pas précisément en quoi consiste l'atteinte, pas plus que son importance. De surcroît, il indique que, par décision du 13 mars 2013, le Tribunal des prud'hommes de Genève lui a alloué une indemnité pour tort moral à charge de l'Eglise catholique romaine, faute pour cette dernière de l'avoir protégé dans sa personnalité. Il n'expose d'aucune manière en quoi consisterait le tort moral non réparé qui subsisterait. Aussi, l'absence de toute explication circonstanciée, dans la configuration d'espèce, suffit pour exclure sa qualité pour recourir. Il s'ensuit que le recours est irrecevable en tant qu'il porte sur le fond de la cause. Le recourant ne fait pour le surplus valoir aucune violation de ses droits procéduraux.</w:t>
      </w:r>
    </w:p>
    <w:p>
      <w:r>
        <w:rPr>
          <w:b/>
        </w:rPr>
        <w:t>E. 1.3</w:t>
      </w:r>
    </w:p>
    <w:p>
      <w:r>
        <w:t>Le recourant succombe. Il supporte les frais de la procédure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