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49/2013 vom 29. Juli 2013</w:t>
      </w:r>
    </w:p>
    <w:p>
      <w:r>
        <w:t>Bundesgericht, 2013-07-29, DE</w:t>
      </w:r>
    </w:p>
    <w:p>
      <w:r>
        <w:rPr>
          <w:b/>
        </w:rPr>
        <w:t xml:space="preserve">Quelle: </w:t>
      </w:r>
      <w:r>
        <w:t>https://mcp.opencaselaw.ch/entscheid/bger_6B_49_2013</w:t>
      </w:r>
    </w:p>
    <w:p>
      <w:r>
        <w:t>FR: TF 6B 49/2013 du 29 juillet 2013</w:t>
      </w:r>
    </w:p>
    <w:p>
      <w:r>
        <w:t>IT: TF 6B 49/2013 del 29 luglio 2013</w:t>
      </w:r>
    </w:p>
    <w:p>
      <w:pPr>
        <w:pStyle w:val="Heading2"/>
      </w:pPr>
      <w:r>
        <w:t>Regeste</w:t>
      </w:r>
    </w:p>
    <w:p>
      <w:r>
        <w:t>Fahrlässige Körperverletzung, einfache Verletzung der Verkehrsregeln; Willkür, rechtliches Gehör etc. | Straftaten</w:t>
      </w:r>
    </w:p>
    <w:p>
      <w:pPr>
        <w:pStyle w:val="Heading2"/>
      </w:pPr>
      <w:r>
        <w:t>Erwägungen</w:t>
      </w:r>
    </w:p>
    <w:p>
      <w:r>
        <w:rPr>
          <w:b/>
        </w:rPr>
        <w:t>E. 1</w:t>
      </w:r>
    </w:p>
    <w:p>
      <w:r>
        <w:t>Der Beschwerdeführer wirft der Vorinstanz eine willkürliche Beweiswürdigung ( Art. 9 BV ) sowie die Verletzung der Unschuldsvermutung ( Art. 32 Abs. 1 BV , Art. 6 Ziff. 2 EMRK und Art. 10 StPO ), des rechtlichen Gehörs ( Art. 29 Abs. 2 BV ) und des Untersuchungsgrundsatzes ( Art. 6 StPO ) vor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w:t>
      </w:r>
    </w:p>
    <w:p>
      <w:r>
        <w:t>Unbestritten ist, dass Y.________ (nachfolgend: Beschwerdegegnerin) mit ihrem Fahrrad stürzte und sich dabei verletzte. Die Vorinstanz wirft dem Beschwerdeführer vor, die Birmensdorferstrasse unaufmerksam betreten und deshalb die Vollbremsung der Fahrradfahrerin nötig gemacht und den Unfall verursacht zu haben. Jener will die Strasse noch vor der Unfallstelle auf der Höhe eines asiatischen Lebensmittelgeschäfts überquert haben.</w:t>
      </w:r>
    </w:p>
    <w:p>
      <w:r>
        <w:rPr>
          <w:b/>
        </w:rPr>
        <w:t>E. 1.2.1</w:t>
      </w:r>
    </w:p>
    <w:p>
      <w:r>
        <w:t>Die Vorinstanz würdigt insbesondere die Aussagen der Beschwerdegegnerin anlässlich der einen Tag nach dem Unfall durchgeführten polizeilichen Einvernahme und der staatsanwaltschaftlichen Befragung vom 22. Februar 2012. Sie schätzt deren Sachverhaltsschilderungen als konstant, schlüssig und deshalb als glaubhaft ein. Gestützt darauf stellt sie fest, dass der Beschwerdeführer auf dem Gehweg der Birmensdorferstrasse in die gleiche Richtung wie die Beschwerdegegnerin ging. Etwa auf der Höhe einer Einfahrt zu einem Parking respektive kurz vorher hat er, ohne sich umzusehen, den Radstreifen betreten, um die Strasse zu überqueren. Die Beschwerdegegnerin, welche nicht mehr ausweichen konnte, bremste stark ab und kam dadurch zu Fall. Während der Beschwerdeführer sich von der Unfallstelle entfernte, rief die Beschwerdegegnerin ihm nach, stieg wieder auf ihr Fahrrad und fuhr ihm in die nächste Querstrasse (Weststrasse) hinterher. Die Vorinstanz schliesst eine Verwechslung des Unfallverursachers durch die Beschwerdegegnerin aus. Weiter würdigt sie die Darstellung des Beschwerdeführers, nicht entlang der Birmensdorferstrasse spaziert zu sein, sondern aus einem asiatischen Geschäft kommend die Strasse direkt überquert zu haben, als nicht überzeugend. Sie zeigt verschiedene Ungereimtheiten in dessen Sachverhaltsvariante auf und wertet seine zahlreichen Versuche, die Beschwerdegegnerin in ein schlechtes Licht zu stellen (beispielsweise mit der Unterstellung, die Beschwerdegegnerin könne nicht Fahrrad fahren und sei nicht normal; er habe überlegt, ob es um einen Versicherungsbetrug gehen könnte etc.), als deutliche Lügensignale. Ebenso trägt sie dem Umstand Rechnung, dass der Beschwerdeführer sich vom Ort des Geschehens entfernte, obwohl die Beschwerdegegnerin ihm nachrief und nachfuhr (vgl. angefochtenes Urteil S. 6 ff.).</w:t>
      </w:r>
    </w:p>
    <w:p>
      <w:r>
        <w:rPr>
          <w:b/>
        </w:rPr>
        <w:t>E. 1.2.2</w:t>
      </w:r>
    </w:p>
    <w:p>
      <w:r>
        <w:t>Der Beschwerdeführer setzt sich mit der vorinstanzlichen Beweiswürdigung nicht auseinander. Während die Vorinstanz gestützt auf die Aussagen der Beschwerdegegnerin (die den Unfallverursacher bereits aus einer gewissen Entfernung auf dem Gehsteig der Birmensdorferstrasse erblickte, vor ihm abbremste und ihm unmittelbar nach dem Unfall nachrief und hinterherfuhr) etwa ausdrücklich eine Verwechslung ausschliesst, führt der Beschwerdeführer an, es hätten sich mehrere Personen in der Nähe des Unfallortes befunden. Die Vorinstanz lasse unberücksichtigt, dass jemand anders in den Unfall habe verwickelt sein können und sich die Beschwerdegegnerin in Bezug auf den Unfallverursacher geirrt haben könnte (Beschwerde S. 10). Dass die fragliche Strasse wochentags kurz vor 17 Uhr befahren und belebt ist, ist notorisch. Das Vorbringen des Beschwerdeführers bringt zu Tage, dass er sich auf die Erwägungen im angefochtenen Entscheid nicht einlässt. Seine Argumentation stellt eine Verwechslung als blosse Möglichkeit in den Raum. Dass aber eine andere Lösung oder Würdigung auch vertretbar erscheint oder gar vorzuziehen wäre, genügt praxisgemäss für die Begründung von Willkür nicht ( BGE 138 I 49 E. 7.1 S. 51; 136 III 552 E. 4.2 S. 560; je mit Hinweisen). Der Beschwerdeführer macht weiter geltend, es sei durchaus nachvollziehbar, dass er nicht entlang der Birmensdorferstrasse spaziert sei. Er habe auf der Höhe des asiatischen Geschäfts die Strasse überquert, um gegenüber in einem anderen Geschäft eine Statue anzuschauen. Damit wiederholt er lediglich die im kantonalen Verfahren vorgetragenen Tatsachenbehauptungen, ohne jedoch im Einzelnen darzutun, inwiefern die Beweismittel von der Vorinstanz willkürlich gewürdigt worden seien. Dies wäre jedoch am Beschwerdeführer gelegen, und er hätte alsdann substanziiert aufzeigen müssen, inwiefern die vorhandenen Beweise andere Schlussfolgerungen geradezu aufgedrängt hätten und die Beweiswürdigung der Vorinstanz (auch) im Ergebnis offensichtlich unhaltbar sei. Seine Ausführungen sind nicht geeignet, Willkür respektive eine Verletzung der Unschuldsvermutung darzutun, und genügen den Begründungsanforderungen gemäss Art. 106 Abs. 2 BGG nicht. Darauf ist nicht einzutreten.</w:t>
      </w:r>
    </w:p>
    <w:p>
      <w:r>
        <w:rPr>
          <w:b/>
        </w:rPr>
        <w:t>E. 1.3</w:t>
      </w:r>
    </w:p>
    <w:p>
      <w:r>
        <w:t>Soweit der Beschwerdeführer geltend macht, die Vorinstanz habe in Verletzung seines rechtlichen Gehörs die Einvernahme einer Zeugin unterlassen, ist seine Rüge unbegründet. 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S. 127; 137 II 266 E. 3.2 S. 270 ; 136 I 265 E. 3.2 S. 272; je mit Hinweisen). Das hindert aber den Richter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136 I 229 E. 5.3 S. 236 f. mit Hinweisen). Die Vorinstanz setzt sich eingehend mit den Aussagen beider Parteien auseinander. Sie beurteilt die Schilderungen der Beschwerdegegnerin als glaubhaft und entkräftet die Sachverhaltsversion des Beschwerdeführers als nicht überzeugend. Diese Beweiswürdigung ist ohne Weiteres vertretbar und die gegen sie gerichtete Kritik appellatorisch (E. 1.2.2 hievor). Der Beschwerdeführer vermag deshalb mit der angerufenen Zeugeneinvernahme die vorinstanzliche antizipierte Beweiswürdigung nicht zu erschüttern. Zudem durfte bei der Vorinstanz Skepsis erregen, dass der Beschwerdeführer erstmals vor Vorinstanz näher darlegte, weshalb die von ihm angerufene Zeugin aus dem Geschäft heraus das Überqueren der Birmensdorferstrasse beobachtet haben sollte. Die Annahme, der Beschwerdeführer habe sich die behaupteten Beobachtungen der Zeugin im Hinblick auf die Berufungsverhandlung zurechtgelegt, ist nicht schlechthin unhaltbar. Noch anlässlich der Einvernahme durch die Polizei hatte der Beschwerdeführer lediglich behauptet, die Zeugin könne bestätigen, dass er im asiatischen Geschäft Visitenkarten geholt habe (während er im Übrigen anlässlich der staatsanwaltschaftlichen Einvernahme zu Protokoll gab, ohne Erfolg nach einer Visitenkarte gefragt zu haben). Vor diesem Hintergrund durfte die Vorinstanz den als glaubhaft beurteilten Aussagen der Beschwerdegegnerin einen grösseren Beweiswert einräumen und als erstellt ansehen, dass der Beschwerdeführer die Birmensdorferstrasse nicht bereits auf der Höhe des asiatischen Geschäfts überquert hatte. Mithin konnte die Vorinstanz aufgrund dieses Beweisergebnisses ohne Willkür in antizipierter Beweiswürdigung auf die beantragte Zeugeneinvernahme verzichten. Der Schluss, es seien hievon keine neuen sachrelevanten Erkenntnisse zu erwarten, ist nicht unhaltbar. Der angefochtene Entscheid ist deshalb verfassungs- und konventionsrechtlich nicht zu beanstanden. Ebenso wenig verletzt die Vorinstanz Bundesrecht im Sinne von Art. 6 und Art. 139 StPO . Die Beschwerde ist, soweit sie überhaupt den Begründungsanforderungen genügt ( Art. 42 Abs. 2 und Art. 106 Abs. 2 BGG ), unbegründet.</w:t>
      </w:r>
    </w:p>
    <w:p>
      <w:r>
        <w:rPr>
          <w:b/>
        </w:rPr>
        <w:t>E. 2</w:t>
      </w:r>
    </w:p>
    <w:p>
      <w:r>
        <w:t>Die Beschwerde ist abzuweisen, soweit darauf eingetreten werden kann. Der Beschwerdeführer wird ausgangsgemäss kostenpflichtig ( Art. 66 Abs. 1 BGG ). Er ersucht um unentgeltliche Rechtspflege und stellt ein Gesuch um amtliche Verteidigung. Dieses ist als Ersuchen um Gewährung der unentgeltlichen Verbeiständung entgegenzunehmen. Das Gesuch ist abzuweisen, da die Beschwerde von vornherein aussichtslos war ( Art. 64 Abs. 1 BGG e contrario). Seinen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