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6B_499/2020 vom 19. Mai 2020</w:t>
      </w:r>
    </w:p>
    <w:p>
      <w:r>
        <w:t>Bundesgericht, 2020-05-19, FR</w:t>
      </w:r>
    </w:p>
    <w:p>
      <w:r>
        <w:rPr>
          <w:b/>
        </w:rPr>
        <w:t xml:space="preserve">Quelle: </w:t>
      </w:r>
      <w:r>
        <w:t>https://mcp.opencaselaw.ch/entscheid/bger_6B_499_2020</w:t>
      </w:r>
    </w:p>
    <w:p>
      <w:r>
        <w:t>FR: TF 6B_499/2020 du 19 mai 2020</w:t>
      </w:r>
    </w:p>
    <w:p>
      <w:r>
        <w:t>IT: TF 6B_499/2020 del 19 maggio 2020</w:t>
      </w:r>
    </w:p>
    <w:p>
      <w:pPr>
        <w:pStyle w:val="Heading2"/>
      </w:pPr>
      <w:r>
        <w:t>Erwägungen</w:t>
      </w:r>
    </w:p>
    <w:p>
      <w:r>
        <w:rPr>
          <w:b/>
        </w:rPr>
        <w:t>E. 1</w:t>
      </w:r>
    </w:p>
    <w:p>
      <w:r>
        <w:t>Par ordonnance pénale du 21 janvier 2020, le Ministère public de l'arrondissement du Nord vaudois a condamné A.________, pour lésions corporelles simples qualifiées, menaces qualifiées et séquestration, à une peine pécuniaire de 90 jours-amende à 30 fr. le jour, avec sursis durant deux ans, ainsi qu'à une amende de 300 francs.</w:t>
      </w:r>
    </w:p>
    <w:p>
      <w:r>
        <w:t>Le prénommé a formé opposition contre cette ordonnance pénale.</w:t>
      </w:r>
    </w:p>
    <w:p>
      <w:r>
        <w:t>Par prononcé du 11 février 2020, le Tribunal de police de l'arrondissement de la Broye et du Nord vaudois, considérant que l'opposition formée par A.________ était manifestement tardive, a déclaré celle-ci irrecevable et a constaté que l'ordonnance pénale du 21 janvier 2020 était exécutoire.</w:t>
      </w:r>
    </w:p>
    <w:p>
      <w:r>
        <w:t>Par arrêt du 17 mars 2020, la Chambre des recours pénale du Tribunal cantonal du canton de Vaud a déclaré irrecevable le recours formé par A.________ contre le prononcé du 11 février 2020.</w:t>
      </w:r>
    </w:p>
    <w:p>
      <w:r>
        <w:t>A.________ forme un recours en matière pénale au Tribunal fédéral contre l'arrêt du 17 mars 2020.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ne prend pas de conclusions formelles, de sorte qu'il est impossible de saisir ce qu'il souhaite précisément obtenir. En outre, c'est en vain que l'on cherche, dans son écriture, un grief topique, motivé à satisfaction, propre à démontrer que la cour cantonale aurait pu violer le droit.</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