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6B_498/2019 vom 29. Mai 2019</w:t>
      </w:r>
    </w:p>
    <w:p>
      <w:r>
        <w:t>Bundesgericht, 2019-05-29, DE</w:t>
      </w:r>
    </w:p>
    <w:p>
      <w:r>
        <w:rPr>
          <w:b/>
        </w:rPr>
        <w:t xml:space="preserve">Quelle: </w:t>
      </w:r>
      <w:r>
        <w:t>https://mcp.opencaselaw.ch/entscheid/bger_6B_498_2019</w:t>
      </w:r>
    </w:p>
    <w:p>
      <w:r>
        <w:t>FR: TF 6B_498/2019 du 29 mai 2019</w:t>
      </w:r>
    </w:p>
    <w:p>
      <w:r>
        <w:t>IT: TF 6B_498/2019 del 29 maggio 2019</w:t>
      </w:r>
    </w:p>
    <w:p>
      <w:pPr>
        <w:pStyle w:val="Heading2"/>
      </w:pPr>
      <w:r>
        <w:t>Erwägungen</w:t>
      </w:r>
    </w:p>
    <w:p>
      <w:r>
        <w:rPr>
          <w:b/>
        </w:rPr>
        <w:t>E. 1</w:t>
      </w:r>
    </w:p>
    <w:p>
      <w:r>
        <w:t>Der Beschwerdeführer erstattete am 9. Juni 2018 bei der Staatsanwaltschaft Frauenfeld Strafanzeige gegen eine Mitarbeiterin der Arbeitslosenkasse, Amt für Wirtschaft und Arbeit des Kantons Thurgau, wegen übler Nachrede, Verleumdung, Amtsmissbrauch, Urkundenfälschung im Amt und Verletzung des Amts- und Berufsgeheimnisses. Die Staatsanwaltschaft stellte das Strafverfahren am 25. Februar 2019 ein. Eine dagegen gerichtete Beschwerde wies das Obergericht des Kantons Thurgau am 4. April 2019 ab, soweit es darauf eintrat.</w:t>
      </w:r>
    </w:p>
    <w:p>
      <w:r>
        <w:t>Der Beschwerdeführer wendet sich an das Bundesgericht.</w:t>
      </w:r>
    </w:p>
    <w:p>
      <w:r>
        <w:rPr>
          <w:b/>
        </w:rPr>
        <w:t>E. 2</w:t>
      </w:r>
    </w:p>
    <w:p>
      <w:r>
        <w:t>Gemäss Art. 81 Abs. 1 lit. b Ziff. 5 BGG ist die Privatklägerschaft zur Beschwerde in Strafsachen nur berechtigt, wenn der angefochtene Entscheid sich auf die Beurteilung ihrer Zivilansprüche auswirken kann. Richtet sich die Beschwerde gegen die Einstellung oder Nichtanhandnahme eines Verfahrens, hat die Privatklägerschaft nicht notwendigerweise bereits vor den kantonalen Behörden Zivilansprüche geltend gemacht. In jedem Fall muss sie indes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t>Als Zivilansprüche im Sinne von Art. 81 Abs. 1 lit. b Ziff. 5 BGG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 BGE 131 I 455 E. 1.2.4 S. 461; 128 IV 188 E. 2.2 f. S. 191 f.).</w:t>
      </w:r>
    </w:p>
    <w:p>
      <w:r>
        <w:rPr>
          <w:b/>
        </w:rPr>
        <w:t>E. 3</w:t>
      </w:r>
    </w:p>
    <w:p>
      <w:r>
        <w:t>Die vom Beschwerdeführer beschuldigte Mitarbeiterin der Arbeitslosenkasse, Amt für Wirtschaft und Arbeit des Kantons Thurgau, soll die ihr vorgeworfenen angeblich strafbaren Handlungen in Ausübung ihrer amtlichen Funktion begangen haben. Nach § 4 Abs. 1 des Gesetzes über die Verantwortlichkeit des Kantons Thurgau vom 14. Februar 1979 (Verantwortlichkeitsgesetz; RB 170.3) haftet ausschliesslich der Staat für den Schaden, den eine mit öffentlichen Aufgaben betraute Person in Ausübung amtlicher Verrichtungen einem Dritten dadurch zufügt, dass sie dessen Rechte verletzt. Entsprechend beurteilen sich allfällige Schadenersatz- und Genugtuungsforderungen gegen die beschuldigte Mitarbeiterin der Arbeitslosenkasse nach dem kantonalen Verantwortlichkeitsgesetz und sind demnach öffentlich-rechtlicher Natur. Die vom Beschwerdeführer erhobenen Vorwürfe können sich daher allenfalls auf seine Staatshaftungsansprüche, nicht aber auf Zivilansprüche im Sinne von Art. 81 Abs. 1 lit. b Ziff. 5 BGG auswirken. Daher kann insoweit mangels Legitimation in der Sache nicht auf die Beschwerde eingetreten werden.</w:t>
      </w:r>
    </w:p>
    <w:p>
      <w:r>
        <w:rPr>
          <w:b/>
        </w:rPr>
        <w:t>E. 4</w:t>
      </w:r>
    </w:p>
    <w:p>
      <w:r>
        <w:t>Formelle Rügen, zu deren Vorbringen der Beschwerdeführer unbesehen der fehlenden Legitimation in der Sache befugt wäre (sog. "Star-Praxis"; vgl. BGE 141 IV 1 E. 1.1 mit Hinweisen), erhebt er nicht.</w:t>
      </w:r>
    </w:p>
    <w:p>
      <w:r>
        <w:rPr>
          <w:b/>
        </w:rPr>
        <w:t>E. 5</w:t>
      </w:r>
    </w:p>
    <w:p>
      <w:r>
        <w:t>Auf die Beschwerde ist im Verfahren nach Art. 108 BGG nicht einzutreten.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