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6B_498/2008 vom 18. August 2008</w:t>
      </w:r>
    </w:p>
    <w:p>
      <w:r>
        <w:t>Bundesgericht, 2008-08-18, FR</w:t>
      </w:r>
    </w:p>
    <w:p>
      <w:r>
        <w:rPr>
          <w:b/>
        </w:rPr>
        <w:t xml:space="preserve">Quelle: </w:t>
      </w:r>
      <w:r>
        <w:t>https://mcp.opencaselaw.ch/entscheid/bger_6B_498_2008</w:t>
      </w:r>
    </w:p>
    <w:p>
      <w:r>
        <w:t>FR: TF 6B_498/2008 du 18 août 2008</w:t>
      </w:r>
    </w:p>
    <w:p>
      <w:r>
        <w:t>IT: TF 6B_498/2008 del 18 agosto 2008</w:t>
      </w:r>
    </w:p>
    <w:p>
      <w:pPr>
        <w:pStyle w:val="Heading2"/>
      </w:pPr>
      <w:r>
        <w:t>Erwägungen</w:t>
      </w:r>
    </w:p>
    <w:p>
      <w:r>
        <w:rPr>
          <w:b/>
        </w:rPr>
        <w:t>E. 1</w:t>
      </w:r>
    </w:p>
    <w:p>
      <w:r>
        <w:t>Interjeté dans le délai prévu par la loi ( art. 100 al. 1 LTF ) par une accusée qui a succombé dans ses conclusions ( art. 81 al. 1 let. b LTF ) et dirigé contre un jugement final ( art. 90 LTF ) rendu en matière pénale ( art. 78 al. 1 LTF ) par une autorité de dernière instance cantonale ( art. 80 al. 1 LTF ), le présent recours, dûment motivé ( art. 42 et 106 al. 2 LTF ), est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t>En l'espèce, la recourante ne conteste pas les infractions retenues à sa charge. Elle ne remet en cause que la prescription partielle d'une contravention et la fixation de la peine.</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 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 ATF 134 IV 36 consid. 1.4.1 p. 39).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La recourante reproche à la cour de cassation cantonale de n'avoir pas réduit la peine de 270 jours-amende à 30 fr. l'un, alors qu'elle avait constaté que les contraventions de voies de fait commises avant le 18 octobre 2004 étaient prescrites.</w:t>
      </w:r>
    </w:p>
    <w:p>
      <w:r>
        <w:rPr>
          <w:b/>
        </w:rPr>
        <w:t>E. 3.1</w:t>
      </w:r>
    </w:p>
    <w:p>
      <w:r>
        <w:t>L' art. 50 CP impose au juge d'indiquer les circonstances pertinentes pour la fixation de la peine et leur importance. Cette disposition codifie la jurisprudence relative à la motivation de la peine rendue en application de l'art. 63 aCP, laquelle conserve donc son actualité (cf. Message concernant la modification des dispositions générales du code pénal, FF 1999, p. 1869; arrêts non publiés 6B_143/2007, du 25 juin 2007, consid. 8.2 et 6B_14/2007, du 17 avril 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et les arrêts cités).</w:t>
      </w:r>
    </w:p>
    <w:p>
      <w:r>
        <w:t>La fixation de la peine est régie par l' art. 47 CP , qui correspond à l'art. 63 aCP et à la jurisprudence y relative. Cette disposition pose le principe que la peine doit être fixée d'après la culpabilité de l'auteur et, à cette fin, énumère, de manière non limitative, une série de critères, qui n'étaient pas formellement prévus à l'art. 63 aCP mais dont la jurisprudence rendue en application de cette norme exigeait qu'ils fussent pris en compte (cf. ATF 129 IV 6 consid. 6.1 p. 21; 128 IV 73 consid. 4 p. 79; 127 IV 97 consid. 3 p. 101, 101 consid. 2a p. 103; 121 IV 97 consid. 2c p. 101; 119 IV 125 consid. 3b p. 126; 118 IV 337 consid. 2c p. 340, 342 consid. 2f p. 349/350; cf. aussi arrêts 6B_264/ 2007 consid. 4.5 et 6B_14/2007 consid. 5.2). Cette jurisprudence garde donc sa valeur.</w:t>
      </w:r>
    </w:p>
    <w:p>
      <w:r>
        <w:rPr>
          <w:b/>
        </w:rPr>
        <w:t>E. 3.2</w:t>
      </w:r>
    </w:p>
    <w:p>
      <w:r>
        <w:t>Dans le cas particulier, le Tribunal correctionnel de l'arrondissement de Lausanne a condamné la recourante à une peine pécuniaire de 270 jours-amende à 30 fr. l'un, « sanction adéquate pour réprimer le comportement fautif de l'accusée ». Il a ensuite ajouté qu'une « amende devrait en théorie être prononcée en raison de la contravention commise » [les voies de fait], mais il y a renoncé parce que les frais de justice, de 17'574 fr.20 constituaient « une forme de « sanction » suffisante ».</w:t>
      </w:r>
    </w:p>
    <w:p>
      <w:r>
        <w:t>Certes, le tribunal d'arrondissement, dont le jugement a été intégralement confirmé par la cour cantonale, a tout d'abord renoncé à infliger une amende à la recourante en application de l' art. 42 al. 4 CP , à titre de sanction immédiate, en considérant que le paiement des très importants frais de justice tenaient lieu de sanction immédiatement applicable, de sorte qu'il n'était pas nécessaire d'adjoindre à la peine pécuniaire une amende selon l' art. 106 CP .</w:t>
      </w:r>
    </w:p>
    <w:p>
      <w:r>
        <w:t>Si ce raisonnement ne souffre aucune critique sous l'angle de la sanction des délits de lésions corporelles simples qualifiées et de violation du devoir d'assistance ou d'éducation, ce procédé est hautement critiquable au regard de l' art. 126 al. 2 let. a CP . En effet, si le juge dispose d'un certain pouvoir d'appréciation sous l'angle de l' art. 42 al. 4 CP , c'est pour infliger une sanction immédiatement sensible lorsque la peine pécuniaire destinée à réprimer un délit est assortie du sursis ( ATF 134 IV 1 , consid. 4.5.1, p. 8 et les références). Par contre, lorsqu'il s'agit d'imposer à l'auteur de voies de fait la peine légale prévue par l' art. 126 al. 1 CP , c'est-à-dire l'amende, qui est toujours ferme, le juge ne peut y renoncer que si les conditions relativement restrictives de l' art. 52 CP sont réalisées. Il faut donc que la culpabilité de l'auteur et les conséquences de son acte soient peu importantes, ce qui n'est manifestement pas le cas en l'espèce. L'exemption de peine ne peut être envisagée que si la poursuite pénale, respectivement le prononcé d'une peine, se révèlent inappropriées à tous les points de vue imaginables, notamment quant à la prévention spéciale et générale ( ATF 117 IV 245 consid. 2a p. 248).</w:t>
      </w:r>
    </w:p>
    <w:p>
      <w:r>
        <w:t>En assimilant le raisonnement fondé sur l' art. 42 al. 4 CP à celui qu'il aurait dû tenir sur la base de l' art. 52 CP , le tribunal correctionnel a rendu une décision arbitraire dans sa motivation, et également dans son résultat ( ATF 134 I 140 consid. 5.4 et les références, p. 148), puisqu'une infraction, dont la lourde culpabilité de l'auteur a été reconnue, ne donne lieu à aucune peine, au mépris de la loi, singulièrement des art. 52 et 126 CP .</w:t>
      </w:r>
    </w:p>
    <w:p>
      <w:r>
        <w:rPr>
          <w:b/>
        </w:rPr>
        <w:t>E. 3.3</w:t>
      </w:r>
    </w:p>
    <w:p>
      <w:r>
        <w:t>Malgré ces circonstances, le jugement du Tribunal correctionnel de l'arrondissement de Lausanne n'a pas été remis en cause sur ce point, ni devant la cour de cassation cantonale, ni devant le tribunal de céans. Comme les instances cantonales ont renoncé -à tort- à punir la recourante pour la violation de l' art. 126 al. 2 let. a CP (voies de fait), il importe peu de savoir que les voies de fait perpétrées entre mars 2003 et le 18 octobre 2004 sont prescrites, puisque l'application de l' art. 47 CP ne concerne que la répression des lésions corporelles simples qualifiées ( art. 123 ch. 1 et 2 al. 3 CP ) et de la violation du devoir d'assistance ou d'éducation ( art. 219 al. 1 CP ). Or, s'agissant de ces deux délits, qui peuvent entrer en concours au sens de l' art. 49 al. 1 CP (Corboz, Les infractions en droit suisse, vol. 1, Berne 2002, n. 25 ad art. 219 CP p. 864), malgré les hésitations de la jurisprudence et de la doctrine (Corboz, op. cit., n. 21 ad art. 219 CP p. 863), la recourante n'a développé aucun moyen. Elle s'est bornée à rappeler la prescription d'une partie des contraventions de voies de fait, qui n'ont jamais été sanctionnées, et qui est par conséquent sans incidence sur la quotité de la peine retenue pour les deux délits susmentionnés, par les instances cantonales successives. Cette constatation commande donc le rejet du recours.</w:t>
      </w:r>
    </w:p>
    <w:p>
      <w:r>
        <w:t>En conséquence, le recours doit être rejeté.</w:t>
      </w:r>
    </w:p>
    <w:p>
      <w:r>
        <w:rPr>
          <w:b/>
        </w:rPr>
        <w:t>E. 4</w:t>
      </w:r>
    </w:p>
    <w:p>
      <w:r>
        <w:t>Vu l'issue du litige, et du fait que le recours était dénué de chance de succès, la demande d'assistance judiciaire doit également être écartée.</w:t>
      </w:r>
    </w:p>
    <w:p>
      <w:r>
        <w:t>Pour tenir compte de la situation pécuniaire difficile de la recourante, seul un émolument réduit de 800 fr.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