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6B_497/2016 vom 25. Mai 2016</w:t>
      </w:r>
    </w:p>
    <w:p>
      <w:r>
        <w:t>Bundesgericht, 2016-05-25, DE</w:t>
      </w:r>
    </w:p>
    <w:p>
      <w:r>
        <w:rPr>
          <w:b/>
        </w:rPr>
        <w:t xml:space="preserve">Quelle: </w:t>
      </w:r>
      <w:r>
        <w:t>https://mcp.opencaselaw.ch/entscheid/bger_6B_497_2016</w:t>
      </w:r>
    </w:p>
    <w:p>
      <w:r>
        <w:t>FR: TF 6B_497/2016 du 25 mai 2016</w:t>
      </w:r>
    </w:p>
    <w:p>
      <w:r>
        <w:t>IT: TF 6B_497/2016 del 25 maggio 2016</w:t>
      </w:r>
    </w:p>
    <w:p>
      <w:pPr>
        <w:pStyle w:val="Heading2"/>
      </w:pPr>
      <w:r>
        <w:t>Erwägungen</w:t>
      </w:r>
    </w:p>
    <w:p>
      <w:r>
        <w:rPr>
          <w:b/>
        </w:rPr>
        <w:t>E. 1</w:t>
      </w:r>
    </w:p>
    <w:p>
      <w:r>
        <w:t>Die Beschwerdeführerin erstattete am 1. März 2016 bei der Kantonspolizei Zürich eine Strafanzeige "wegen Betrugs gegen Frau A.________ ZKB/Zürich". Die Staatsanwaltschaft Winterthur/Unterland nahm die Untersuchung am 14. März 2016 nicht an die Hand. Eine dagegen gerichtete Beschwerde wies das Obergericht des Kantons Zürich am 22. April 2016 ab, soweit es darauf eintrat.</w:t>
      </w:r>
    </w:p>
    <w:p>
      <w:r>
        <w:t>Die Beschwerdeführerin wendet sich mit Eingabe vom 22. April an das Bundesgericht, ohne einen eigentlichen Antrag zu stellen.</w:t>
      </w:r>
    </w:p>
    <w:p>
      <w:r>
        <w:rPr>
          <w:b/>
        </w:rPr>
        <w:t>E. 2</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eine Zivilforderung geltend gemacht. Indessen muss sie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Die Beschwerdeführerin äussert sich vor Bundesgericht zu ihrer Legitimation und zu einer allfälligen Zivilforderung nicht. Dass sie im kantonalen Verfahren eine solche gestellt hätte, ergibt sich im Übrigen nicht aus dem angefochtenen Beschluss. Gestützt auf die von ihr erhobenen Vorwürfe ist auch nicht ohne Weiteres ersichtlich, um welche Zivilforderung es gehen könnte. Auf die Beschwerde ist mangels hinreichend begründeter Legitimation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