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6B_496/2018 vom 6. September 2018</w:t>
      </w:r>
    </w:p>
    <w:p>
      <w:r>
        <w:t>Bundesgericht, 2018-09-06, FR</w:t>
      </w:r>
    </w:p>
    <w:p>
      <w:r>
        <w:rPr>
          <w:b/>
        </w:rPr>
        <w:t xml:space="preserve">Quelle: </w:t>
      </w:r>
      <w:r>
        <w:t>https://mcp.opencaselaw.ch/entscheid/bger_6B_496_2018</w:t>
      </w:r>
    </w:p>
    <w:p>
      <w:r>
        <w:t>FR: TF 6B_496/2018 du 6 septembre 2018</w:t>
      </w:r>
    </w:p>
    <w:p>
      <w:r>
        <w:t>IT: TF 6B_496/2018 del 6 settembre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(6B_939/2016 du 6 juillet 2017 consid. 1.1 et les références citées; ATF 127 IV 185 consid. 1a p. 188).</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pp. 4 s.). Si la partie plaignante invoque des infractions distinctes, elle doit mentionner par rapport à chacune d'elles en quoi consiste son dommage (cf. arrêts 6B_256/2018 du 13 août 2018 consid. 2.2; 6B_405/2018 du 7 août 2018 consid. 1.1 et les références citées).</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6B_405/2018 précité consid. 1.2 et les références citées).</w:t>
      </w:r>
    </w:p>
    <w:p>
      <w:r>
        <w:t>En l'espèce, le recourant expose s'être constitué demandeur au pénal et au civil et indique chiffrer ses conclusions civiles dans son mémoire de recours, en alléguant un tort moral qu'il arrête à 5000 francs. Il se contente toutefois d'alléguer que, depuis l'agression dont il soutient avoir été victime, il est habité par un sentiment d'insécurité dans son quartier et qu'au cours des semaines qui ont suivi cet événement, il exprimait des réticences à sortir de chez lui et aurait souffert de troubles du sommeil. Il évoque en outre un événement qui l'a durablement marqué et qui a affecté son sentiment de bien-être et de sécurité dans son cadre de vie quotidien. De telles allégations, qui ne sont nullement étayées, ne suffisent pas à établir une souffrance morale susceptible de justifier une réparation par voie judiciaire. Pour le reste, le recourant n'allègue aucun dommage. On ne saurait dès lors lui reconnaître la qualité pour recourir sur le fond de la cause.</w:t>
      </w:r>
    </w:p>
    <w:p>
      <w:r>
        <w:rPr>
          <w:b/>
        </w:rPr>
        <w:t>E. 1.2</w:t>
      </w:r>
    </w:p>
    <w:p>
      <w:r>
        <w:t>Selon l'art. 81 al. 1 let. b ch. 6 LTF, le plaignant a qualité pour former un recours en matière pénale pour autant que la contestation porte sur le droit de porter plainte. L'hypothèse envisagée par cette disposition n'entre toutefois pas en considération, dès lors que le recourant ne soulève aucun grief concernant son droit de porter plainte.</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(arrêts 6B_1365/2017 du 27 juin 2018 consid. 3.3; 6B_431/2013 du 18 décembre 2013 consid. 2.2; 1B_526/2012 du 24 juin 2013 consid. 2.2). Cela comprend le droit de consulter les fichiers, dossiers et renseignements disponibles. Il en va de même lorsque le ministère public demande à la personne mise en cause une simple prise de position (arrêts 6B_1365/2017 précité consid. 3.3).</w:t>
      </w:r>
    </w:p>
    <w:p>
      <w:r>
        <w:t>Si le ministère public considère ensuite qu'une ordonnance de non-entrée en matière doit être rendue, il n'a pas à informer les parties de son choix puisque l' art. 318 CPP n'est pas applicable dans une telle situation; le droit d'être entendu des parties sera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6B_1365/2017 précité consid. 3.3; 6B_539/2016 du 1er novembre 2017 consid. 2.2.1 et les références citées). Inversement, faute d'ouverture d'instruction, le droit de participer à l'administration des preuves ne s'applique en principe pas ( art. 147 al. 1 CPP a contrario; arrêts 6B_886/2017 du 26 mars 2018 consid. 2.3.1; 6B_217/2015 du 5 novembre 2015 consid. 2.2 [non publié aux ATF 141 IV 423 ]), et ce y compris en cas d'investigations policières diligentées à titre de complément d'enquête requis par le ministère public en vertu de l' art. 309 al. 2 CPP (SCHMID/JOSITSCH, Schweizerische Strafprozessordnung, 3e éd. 2018, n° 3 ad art. 147 CPP ).</w:t>
      </w:r>
    </w:p>
    <w:p>
      <w:r>
        <w:t>En l'espèce, et quoi qu'en dise le recourant, il ressort du dossier que le Juge des mineurs, en tant qu'autorité de poursuite, respectivement d'instruction (cf. art. 6 al. 1 et 2 DPMin ; art. 48 al. 1 de la Loi genevoise d'application du code pénal suisse et d'autres lois fédérales en matière pénale [LaCP; RS/GE E 4 10]), a requis de la police un complément d'enquête en vertu de l' art. 309 al. 2 CPP . Le recourant évoque ainsi à tort l'audition de deux témoins par la police en application l' art. 312 CPP et ne peut en tirer argument en sa faveur. Il découle en outre des développements qui précèdent qu'il ne pouvait, en l'état de la procédure, se prévaloir d'un droit d'interroger les personnes auditionnées, son droit d'être entendu étant suffisamment garanti par la procédure de recours contre l'ordonnance de non-entrée en matière. En définitive, le recourant échoue à établir que les autorités genevoises auraient, sur des points intrinsèquement distincts du fond, violé ses droits de partie au point de commettre un déni de justice formel à son égard. Ses griefs doivent à cet égard être rejetés dans la mesure de leur recevabilité.</w:t>
      </w:r>
    </w:p>
    <w:p>
      <w:r>
        <w:rPr>
          <w:b/>
        </w:rPr>
        <w:t>E. 2</w:t>
      </w:r>
    </w:p>
    <w:p>
      <w:r>
        <w:t>Il s'ensuit que le recours doit être rejeté dans la mesure où il est recevable.</w:t>
      </w:r>
    </w:p>
    <w:p>
      <w:r>
        <w:t>Comme les conclusions du recours étaient dépourvues de chances de succès, l'assistance judiciaire ne peut pas être accordée ( art. 64 al. 1 LTF ). Le recourant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