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6B_494/2023 vom 6. Juli 2023</w:t>
      </w:r>
    </w:p>
    <w:p>
      <w:r>
        <w:t>Bundesgericht, 2023-07-06, FR</w:t>
      </w:r>
    </w:p>
    <w:p>
      <w:r>
        <w:rPr>
          <w:b/>
        </w:rPr>
        <w:t xml:space="preserve">Quelle: </w:t>
      </w:r>
      <w:r>
        <w:t>https://mcp.opencaselaw.ch/entscheid/bger_6B_494_2023</w:t>
      </w:r>
    </w:p>
    <w:p>
      <w:r>
        <w:t>FR: TF 6B_494/2023 du 6 juillet 2023</w:t>
      </w:r>
    </w:p>
    <w:p>
      <w:r>
        <w:t>IT: TF 6B_494/2023 del 6 luglio 2023</w:t>
      </w:r>
    </w:p>
    <w:p>
      <w:pPr>
        <w:pStyle w:val="Heading2"/>
      </w:pPr>
      <w:r>
        <w:t>Erwägungen</w:t>
      </w:r>
    </w:p>
    <w:p>
      <w:r>
        <w:rPr>
          <w:b/>
        </w:rPr>
        <w:t>E. 1</w:t>
      </w:r>
    </w:p>
    <w:p>
      <w:r>
        <w:t>Par jugement du 14 novembre 2022, la Cour d'appel pénale du Tribunal cantonal vaudois a partiellement admis l'appel interjeté par A.________ contre le jugement du 15 juin 2022 du Tribunal de police de l'arrondissement de La Côte. En substance, elle a confirmé le jugement de première instance en ce sens que A.________ a été reconnu coupable de voies de fait qualifiées, de menaces qualifiées et de dénonciation calomnieuse, et condamné à une peine privative de liberté de 90 jours avec sursis pendant 4 ans. La Cour d'appel pénale a ramené le montant de l'amende à 300 fr. (3 jours de peine privative de liberté de substitution) et a confirmé la révocation de différents sursis accordés.</w:t>
      </w:r>
    </w:p>
    <w:p>
      <w:r>
        <w:rPr>
          <w:b/>
        </w:rPr>
        <w:t>E. 2</w:t>
      </w:r>
    </w:p>
    <w:p>
      <w:r>
        <w:t>A.________ forme un recours au Tribunal fédéral contre le jugement cantonal du 14 novembre 2022. Il requiert le bénéfice de l'assistance judiciaire.</w:t>
      </w:r>
    </w:p>
    <w:p>
      <w:r>
        <w:rPr>
          <w:b/>
        </w:rPr>
        <w:t>E. 3</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 arrêt 6B_970/2017 du 17 octobre 2017 consid. 4). De plus, le Tribunal fédéral est lié par les faits retenus par l'arrêt entrepris ( art. 105 al. 1 LTF ), sous les réserves découlant des art. 97 al. 1 et 105 al. 2 LTF, soit pour l'essentiel de l'arbitraire ( art. 9 Cst. ; sur cette notion, cf. ATF 147 IV 73 consid. 4.1.2; 143 IV 241 consid. 2.3.1) dans la constatation des faits. Le Tribunal fédéral ne connaît de la violation des droits fondamentaux que si ce moyen est invoqué et motivé par le recourant ( art. 106 al. 2 LTF ), c'est-à-dire s'il a été expressément soulevé et exposé de manière claire et détaillée ( ATF 143 IV 500 consid. 1.1). Les critiques de nature appellatoire sont irrecevables ( ATF 147 IV 73 consid. 4.1.2; 146 IV 114 consid. 2.1; 145 IV 154 consid. 1.1).</w:t>
      </w:r>
    </w:p>
    <w:p>
      <w:r>
        <w:rPr>
          <w:b/>
        </w:rPr>
        <w:t>E. 4</w:t>
      </w:r>
    </w:p>
    <w:p>
      <w:r>
        <w:t>Le recourant se contente d'indiquer confirmer son recours contre le jugement, sans former de conclusion ni développer la moindre argumentation. Il ne conteste d'aucune manière la motivation cantonale, que ce soit sous l'angle de l'établissement des faits, des qualifications juridiques, de la peine ou de la révocation des sursis.</w:t>
      </w:r>
    </w:p>
    <w:p>
      <w:r>
        <w:t>Il s'ensuit que le recours doit être déclaré irrecevable, faute de satisfaire aux exigences de motivation d'un recours en matière pénale (cf. art. 42 al. 2 et 106 al. 2 LTF).</w:t>
      </w:r>
    </w:p>
    <w:p>
      <w:r>
        <w:rPr>
          <w:b/>
        </w:rPr>
        <w:t>E. 5</w:t>
      </w:r>
    </w:p>
    <w:p>
      <w:r>
        <w:t>L'irrecevabilité du recours est manifeste, ce qu'il convient de constater dans la procédure prévue par l' art. 108 al. 1 let. b LTF . Le recours était dépourvu de chances de succès, ce qui conduit au refus de l'assistance judiciaire ( art. 64 al. 1 et 3 LTF ). Le recourant supporte les frais de la procédure qui seront fixés en tenant compte de sa situation,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