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6B_494/2015 vom 25. Mai 2016</w:t>
      </w:r>
    </w:p>
    <w:p>
      <w:r>
        <w:t>Bundesgericht, 2016-05-25, FR</w:t>
      </w:r>
    </w:p>
    <w:p>
      <w:r>
        <w:rPr>
          <w:b/>
        </w:rPr>
        <w:t xml:space="preserve">Quelle: </w:t>
      </w:r>
      <w:r>
        <w:t>https://mcp.opencaselaw.ch/entscheid/bger_6B_494_2015</w:t>
      </w:r>
    </w:p>
    <w:p>
      <w:r>
        <w:t>FR: TF 6B_494/2015 du 25 mai 2016</w:t>
      </w:r>
    </w:p>
    <w:p>
      <w:r>
        <w:t>IT: TF 6B_494/2015 del 25 maggio 2016</w:t>
      </w:r>
    </w:p>
    <w:p>
      <w:pPr>
        <w:pStyle w:val="Heading2"/>
      </w:pPr>
      <w:r>
        <w:t>Erwägungen</w:t>
      </w:r>
    </w:p>
    <w:p>
      <w:r>
        <w:rPr>
          <w:b/>
        </w:rPr>
        <w:t>E. 1</w:t>
      </w:r>
    </w:p>
    <w:p>
      <w:r>
        <w:t>Le recourant se plaint que l'état de fait a été établi de manière manifestement inexacte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w:t>
      </w:r>
    </w:p>
    <w:p>
      <w:r>
        <w:rPr>
          <w:b/>
        </w:rPr>
        <w:t>E. 1.2</w:t>
      </w:r>
    </w:p>
    <w:p>
      <w:r>
        <w:t>Le recourant reproche à la cour cantonale de ne pas avoir retenu, de manière arbitraire, qu'il avait été dans les faits piloté par Y.________ dans le cadre d'un montage financier imaginé et conduit par ce dernier. Selon le recourant, cet élément serait déterminant pour l'examen de la qualité de gérant selon l' art. 158 CP .</w:t>
      </w:r>
    </w:p>
    <w:p>
      <w:r>
        <w:t>Il n'y a pas lieu d'examiner ce grief, puisque, de toute façon, son admission ne serait pas susceptible d'influer sur le sort de la cause (cf. art. 97 al. 1 LTF ). En effet, selon la jurisprudence, l'homme de paille qui se laisse manipuler ne peut se libérer dans le cadre de l' art. 158 CP de la responsabilité qui lui a été formellement conférée (cf. consid. 2.1.2).</w:t>
      </w:r>
    </w:p>
    <w:p>
      <w:r>
        <w:rPr>
          <w:b/>
        </w:rPr>
        <w:t>E. 1.3</w:t>
      </w:r>
    </w:p>
    <w:p>
      <w:r>
        <w:t>Le recourant fait grief à la cour cantonale d'avoir versé dans l'arbitraire en déclarant que le sort des 13'600 actions de la société C.________ SA détenues par Y.________ à titre fiduciaire ne faisait pas directement l'objet de la présente procédure pénale. Il soutient que la question de la titularité des actions litigieuses est intrinsèquement liée avec celle du versement des dividendes, en particulier le versement de EUR 4'406.40 le 11 octobre 2006.</w:t>
      </w:r>
    </w:p>
    <w:p>
      <w:r>
        <w:t>Par son argumentation, le recourant se borne à affirmer que le montant de EUR 4'406.40 versé le 11 octobre 2006 avec la communication " rglt dividendes ex 2005 " correspond au dividence des 13'600 actions C.________ dont la société Z.________ Ltd n'était plus propriétaire depuis le 15 août 2006. A supposer que - comme le soutient le recourant - la société Z.________ Ltd n'est plus propriétaire de ces actions, le recourant n'en est pas pour autant propriétaire lui-même, et il ne le prétend du reste pas. Il ne peut donc retenir ce montant sur ses propres comptes. Le cas échéant, la société Z.________ Ltd pourrait en être redevable au nouveau propriétaire des actions. Dans la mesure de sa recevabilité, le grief soulevé doit donc être rejeté.</w:t>
      </w:r>
    </w:p>
    <w:p>
      <w:r>
        <w:rPr>
          <w:b/>
        </w:rPr>
        <w:t>E. 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que l'auteur ait un devoir de gestion ou de sauvegarde, qu'il ait violé une obligation inhérente à cette qualité et qu'il en soit résulté un dommage. Sur le plan subjectif, il faut qu'il ait agit intentionnellement.</w:t>
      </w:r>
    </w:p>
    <w:p>
      <w:r>
        <w:rPr>
          <w:b/>
        </w:rPr>
        <w:t>E. 2.1</w:t>
      </w:r>
    </w:p>
    <w:p>
      <w:r>
        <w:t>Le recourant conteste revêtir la qualité de gérant. Il soutient qu'il exerçait un rôle d'homme de paille et qu'il était " téléguidé " par Y.________, qui, compte tenu de ses connaissances spécifiques sur le marché libre français notamment, avait seul une vision globale du groupe de sociétés impliquées et du montage de la société intimée.</w:t>
      </w:r>
    </w:p>
    <w:p>
      <w:r>
        <w:rPr>
          <w:b/>
        </w:rPr>
        <w:t>E. 2.1.1</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En règle générale, une qualité de gérant est reconnue aux organes ou membres d'organes de sociétés commerciales.</w:t>
      </w:r>
    </w:p>
    <w:p>
      <w:r>
        <w:rPr>
          <w:b/>
        </w:rPr>
        <w:t>E. 2.1.2</w:t>
      </w:r>
    </w:p>
    <w:p>
      <w:r>
        <w:t>En l'espèce, la position de gérant du recourant résulte de son statut d'administrateur unique de la société Z.________ Ltd. C'est en vain que le recourant fait valoir qu'il a été entièrement " piloté " par Y.________ et qu'il n'était dès lors qu'un homme de paille. En effet, selon la jurisprudence, l'homme de paille n'est pas exonéré de toute responsabilité dans le cadre de l' art. 158 CP , du fait qu'un tiers lui a prescrit le comportement à adopter ( ATF 105 IV 106 consid. 2 p. 110; arrêts 6B_223/2010 du 13 janvier 2011 consid. 3.3.1; 6B_66/2008 du 9 mai 2008 consid. 6.3.2; TRECHSEL/CRAMERI, in Trechsel/Pieth (édit.), Schweizerisches Strafgesetzbuch, Praxiskommentar, 2e éd., 2013, n° 5 ad 158 CP). Celui qui, en droit, assume des obligations, doit en répondre et ne peut dégager sa responsabilité qu'en se démettant de ses fonctions. Il ne peut invoquer à décharge sa dépendance à l'égard d'autres responsables, fussent-ils ses employeurs ( ATF 105 IV 106 consid. 2 p. 110). La cour cantonale n'a donc pas violé le droit fédéral en reconnaissant au recourant la qualité de gérant.</w:t>
      </w:r>
    </w:p>
    <w:p>
      <w:r>
        <w:rPr>
          <w:b/>
        </w:rPr>
        <w:t>E. 2.2</w:t>
      </w:r>
    </w:p>
    <w:p>
      <w:r>
        <w:t>Le recourant conteste avoir violé un devoir de gestion.</w:t>
      </w:r>
    </w:p>
    <w:p>
      <w:r>
        <w:rPr>
          <w:b/>
        </w:rPr>
        <w:t>E. 2.2.1</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6B_845/2014 du 16 mars 2015 consid. 3.2; 6B_967/2013 du 21 février 2014, consid. 3.2; 6B_223/2010 du 13 janvier 2011 consid. 3.3.2; arrêt 6B_446/2010 du 14 janvier 2010 consid. 8.4.1).</w:t>
      </w:r>
    </w:p>
    <w:p>
      <w:r>
        <w:rPr>
          <w:b/>
        </w:rPr>
        <w:t>E. 2.2.2</w:t>
      </w:r>
    </w:p>
    <w:p>
      <w:r>
        <w:t>La cour cantonale fait grief au recourant de s'être approprié les dividendes des actions C.________, en choisissant de ne pas ouvrir de compte bancaire au nom de la société Z.________ Ltd. Selon la cour cantonale, le recourant a sciemment conservé le contrôle effectif de ces montants, ce qui lui a permis de les mettre hors de portée de la société lorsqu'il l'a jugé utile. Dans le cas de la vente des actions C.________, le recourant a procédé à la vente des dernières actions encore sous le contrôle de la société et s'est approprié le produit de cette vente. Dans les deux cas, il est reproché au recourant d'avoir " conservé " les montants litigieux.</w:t>
      </w:r>
    </w:p>
    <w:p>
      <w:r>
        <w:rPr>
          <w:b/>
        </w:rPr>
        <w:t>E. 2.2.3</w:t>
      </w:r>
    </w:p>
    <w:p>
      <w:r>
        <w:t>La société Z.________ Ltd n'a jamais été formellement titulaire d'un compte bancaire; les actifs étaient détenus par le biais d'une relation bancaire du recourant, qui avait notamment ouvert un compte bancaire à son nom comportant une rubrique Z.________ Ltd. Le recourant a donc encaissé sur ses comptes privés les dividendes des actions C.________ et le produit de la vente des 1'400 actions de cette société. Le seul fait de ne pas avoir ouvert un compte au nom de la société Z.________ Ltd ne constitue pas en soi un acte de gestion déloyale. D'entente avec les personnes intéressées, le recourant était en droit de détenir à titre fiduciaire les montants appartenant à la société Z.________ Ltd. En effet, les devoirs de gestion ne sous-entendent pas nécessairement l'obligation d'ouvrir un compte bancaire séparé au nom de la société. Pour le surplus, il ne ressort pas de l'état de fait cantonal qu'il y a eu confusion ou mélange des biens à gérer.</w:t>
      </w:r>
    </w:p>
    <w:p>
      <w:r>
        <w:t>Le recourant ne s'est toutefois pas borné à ouvrir un compte à son nom pour la société Z.________ Ltd, mais il a profité de l'organisation mise en place pour " conserver " les dividendes des actions C.________ et le produit de la vente des 1'400 actions. Ces montants faisaient économiquement partie du patrimoine de la société Z.________ Ltd. A la demande du nouvel administrateur, le recourant devait restituer à la société Z.________ Ltd ce qu'il avait reçu en tant qu'administrateur de la société, à savoir notamment les montants qu'il détenait à titre fiduciaire (cf. art. 401 CO ). En refusant de restituer les montants litigieux, le recourant a violé ses obligations d'administrateur et porté atteinte aux intérêts de la société. Il ne peut, à cet égard, rien tirer de la jurisprudence publiée aux ATF 129 IV 124 , puisque celle-ci concerne la violation du devoir de restituer, prévu dans le contrat de travail.</w:t>
      </w:r>
    </w:p>
    <w:p>
      <w:r>
        <w:rPr>
          <w:b/>
        </w:rPr>
        <w:t>E. 2.3</w:t>
      </w:r>
    </w:p>
    <w:p>
      <w:r>
        <w:t>Le recourant conteste avoir causé un dommage à la société intimée. Il fait valoir que les montants litigieux se trouvent toujours sur les comptes bancaires, qu'il utilisait pour la gestion de la société Z.________ Ltd. Selon le recourant, ces montants seraient à la disposition de la société Z.________ Ltd, de sorte que celle-ci n'aurait pas été prétéritée.</w:t>
      </w:r>
    </w:p>
    <w:p>
      <w:r>
        <w:rPr>
          <w:b/>
        </w:rPr>
        <w:t>E. 2.3.1</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l'enrichissement de l'auteur, ni qu'il soit chiffré; il suffit qu'il soit certain (arrêts 6B_967/2013 du 21 février 2014 consid. 3.3; 6B_986/2008 du 20 avril 2009, consid. 4.1).</w:t>
      </w:r>
    </w:p>
    <w:p>
      <w:r>
        <w:rPr>
          <w:b/>
        </w:rPr>
        <w:t>E. 2.3.2</w:t>
      </w:r>
    </w:p>
    <w:p>
      <w:r>
        <w:t>Certes, le recourant n'a pas utilisé à son profit les montants litigieux, qui se trouvent encore sur ses comptes bancaires. Contrairement à ce que soutient le recourant, ces montants ne sont toutefois pas à la disposition de la société Z.________ Ltd. En effet, ils sont sur des comptes au nom du recourant et celui-ci refuse de les lui restituer. La société Z.________ Ltd qui ne peut disposer de ces montants subit un dommage.</w:t>
      </w:r>
    </w:p>
    <w:p>
      <w:r>
        <w:rPr>
          <w:b/>
        </w:rPr>
        <w:t>E. 2.4</w:t>
      </w:r>
    </w:p>
    <w:p>
      <w:r>
        <w:t>Le recourant conteste avoir agi intentionnellement.</w:t>
      </w:r>
    </w:p>
    <w:p>
      <w:r>
        <w:rPr>
          <w:b/>
        </w:rPr>
        <w:t>E. 2.4.1</w:t>
      </w:r>
    </w:p>
    <w:p>
      <w:r>
        <w:t>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w:t>
      </w:r>
    </w:p>
    <w:p>
      <w:r>
        <w:rPr>
          <w:b/>
        </w:rPr>
        <w:t>E. 2.4.2</w:t>
      </w:r>
    </w:p>
    <w:p>
      <w:r>
        <w:t>En l'espèce, il faut admettre que le recourant savait qu'il était l'administrateur de la société et que, vu son expérience en affaires, il ne pouvait qu'être conscient qu'il ne pouvait pas garder les montants litigieux sur ses comptes personnels. L'élément subjectif est donc réalisé.</w:t>
      </w:r>
    </w:p>
    <w:p>
      <w:r>
        <w:rPr>
          <w:b/>
        </w:rPr>
        <w:t>E. 2.5</w:t>
      </w:r>
    </w:p>
    <w:p>
      <w:r>
        <w:t>Le recourant nie avoir agi dans un dessein d'enrichissement illégitime ( art. 158 ch. 1 al. 3 CP ). Il fait valoir qu'il aurait toujours agi dans le but de récupérer les frais qu'il avait avancés jusque-là à la société intimée.</w:t>
      </w:r>
    </w:p>
    <w:p>
      <w:r>
        <w:rPr>
          <w:b/>
        </w:rPr>
        <w:t>E. 2.5.1</w:t>
      </w:r>
    </w:p>
    <w:p>
      <w:r>
        <w:t>S'agissant de la gestion déloyale au sens strict ( art. 158 ch. 1 al. 1 CP ), le dessein d'enrichissement illégitime n'est pas requis, mais constitue une circonstance aggravante.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 s.).</w:t>
      </w:r>
    </w:p>
    <w:p>
      <w:r>
        <w:rPr>
          <w:b/>
        </w:rPr>
        <w:t>E. 2.5.2</w:t>
      </w:r>
    </w:p>
    <w:p>
      <w:r>
        <w:t>La cour cantonale a retenu la commission de l'infraction de gestion déloyale simple au sens de l' art. 158 ch. 1 al. 1 CP s'agissant du produit de la vente des actions C.________ en 2008, en raison de la situation confuse des rapports de comptes entre les parties. En revanche, en ce qui concerne la perception des dividendes des actions C.________ en 2003, 2006 et 2007, elle a retenu qu' " il y avait lieu de retenir un dessein d'enrichissement illégitime, dans la mesure où il est établi que le prévenu savait d'emblée que les montants qu'il détenait revenaient à la société et où on ne saurait admettre qu'il a tout au long de son activité d'administrateur considéré que la perspective de prétentions qu'il formulerait à l'issue de son mandat justifiait qu'il s'approprie ces montants ".</w:t>
      </w:r>
    </w:p>
    <w:p>
      <w:r>
        <w:t>Selon l'état de fait cantonal, le recourant a effectivement des prétentions à l'encontre de la société Z.________ Ltd. La cour cantonale a relevé que les intimés semblaient, au vu de leurs conclusions subsidiaires, admettre les prétentions du recourant à concurrence d'un montant de 28'551 fr. 75. Le recourant a toutefois refusé de formuler et d'établir le montant qui lui serait dû. En conséquence, le montant de sa créance est peut-être supérieur à 28'551 fr. 75, mais il est en tout cas inférieur au montant des avoirs qu'il conserve sur ses comptes. En refusant de restituer à la société Z.________ Ltd les montants qui lui reviennent, le recourant a donc agi dans le dessein de s'enrichir.</w:t>
      </w:r>
    </w:p>
    <w:p>
      <w:r>
        <w:t>Pour justifier son refus de formuler le montant qui lui serait dû, le recourant se retranche derrière le fait que les intimés montreraient peu d'empressement à clôturer les comptes de la société. A cet égard, il explique que la clôture des comptes nécessiterait de régler la question du prêt de EUR 300'000, respectivement des 13'600 actions C.________ confiées à Y.________. Cette argumentation ne lui est toutefois d'aucun secours, car, même si l'on suit le recourant et que l'on admet que les 13'600 actions ont disparu, c'est la société Z.________ Ltd qui aurait une créance contre Y.________, et non le recourant contre la société Z.________ Ltd.</w:t>
      </w:r>
    </w:p>
    <w:p>
      <w:r>
        <w:rPr>
          <w:b/>
        </w:rPr>
        <w:t>E. 2.6</w:t>
      </w:r>
    </w:p>
    <w:p>
      <w:r>
        <w:t>Le recourant invoque la prescription s'agissant de la perception des dividendes.</w:t>
      </w:r>
    </w:p>
    <w:p>
      <w:r>
        <w:t>Dans la mesure où l'on a retenu le dessein d'enrichissement illégitime et la gestion déloyale aggravée selon l' art. 158 ch. 1 al. 2 CP pour les agissements reprochés en 2003, 2006 et 2007, la prescription est de quinze ans (art. 158 ch. 1 al. 3 et 97 al. 1 let. b CP). Dans ces conditions, elle n'est manifestement pas atteinte. Pour les agissements reprochés en 2008 où la gestion déloyale simple a été retenue, le délai de prescription de dix ans ( art. 97 al. 1 let . c CP) n'était pas non plus atteint au moment du jugement de première instance. Le grief soulevé doit être rejeté.</w:t>
      </w:r>
    </w:p>
    <w:p>
      <w:r>
        <w:rPr>
          <w:b/>
        </w:rPr>
        <w:t>E. 3</w:t>
      </w:r>
    </w:p>
    <w:p>
      <w:r>
        <w:t>Le recourant dénonce une violation du principe</w:t>
      </w:r>
    </w:p>
    <w:p>
      <w:r>
        <w:t>in dubio pro reo (art. 6 § 2 CEDH et 32 Cst.). Il fait valoir que la cour cantonale a nourri de gros doutes sur sa culpabilité, puisqu'elle a relevé elle-même lors de la fixation de la peine " qu'il est difficile de déterminer le préjudice réel des lésés, de même que l'intensité de la volonté délictuelle du prévenu "; en outre, elle a souligné, lors de l'examen des conclusions civiles, que l'existence de prétentions du recourant était vraisemblable.</w:t>
      </w:r>
    </w:p>
    <w:p>
      <w:r>
        <w:rPr>
          <w:b/>
        </w:rPr>
        <w:t>E. 3.1</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3.2</w:t>
      </w:r>
    </w:p>
    <w:p>
      <w:r>
        <w:t>Contrairement à ce que soutient le recourant, la cour cantonale n'a pas nourri de doute sur l'existence d'un dommage et l'intention délictuelle du recourant. Elle a simplement déclaré qu'il était difficile de chiffrer le montant du dommage, dans la mesure où l'on ignorait le montant exact des prétentions du recourant contre la société Z.________ Ltd. Elle a toutefois tenu pour établi que le recourant refusait, sans droit, de restituer les montants qui appartenaient à la société. La cour cantonale a été convaincue de la culpabilité du recourant et n'a pas violé la présomption d'innocence.</w:t>
      </w:r>
    </w:p>
    <w:p>
      <w:r>
        <w:rPr>
          <w:b/>
        </w:rPr>
        <w:t>E. 4</w:t>
      </w:r>
    </w:p>
    <w:p>
      <w:r>
        <w:t>Le recourant se plaint du défaut de motivation du jugement attaqué (art. 5 § 2 et 6 § 3 CEDH ; art. 29 Cst. ). Il s'en prend en particulier à la motivation de la réalisation d'un dessein d'enrichissement illégitime.</w:t>
      </w:r>
    </w:p>
    <w:p>
      <w:r>
        <w:rPr>
          <w:b/>
        </w:rPr>
        <w:t>E. 4.1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6B_431/2015 du 24 mars 2016 consid. 1.1).</w:t>
      </w:r>
    </w:p>
    <w:p>
      <w:r>
        <w:rPr>
          <w:b/>
        </w:rPr>
        <w:t>E. 4.2</w:t>
      </w:r>
    </w:p>
    <w:p>
      <w:r>
        <w:t>La cour cantonale a retenu, s'agissant de la perception des dividendes, qu' "il y avait lieu de retenir un dessein d'enrichissement illégitime, dans la mesure où il est établi que le prévenu savait d'emblée que les montants qu'il détenait revenaient à la société et où on ne saurait admettre qu'il a tout au long de son activité d'administrateur considéré que la perspective de prétentions qu'il formulerait à l'issue de son mandat justifiait qu'il s'approprie ces montants ". En d'autres termes, elle a considéré que le recourant s'était approprié les dividendes des actions C.________ en 2003, 2006 et 2007 en les faisant verser sur ses comptes personnels, alors qu'à l'époque il n'avait encore aucune prétention à l'encontre de la société Z.________ Ltd. En revanche, lorsque, en 2008, il s'est approprié le produit de la vente des 1'400 actions C.________, il faisait valoir le remboursement de frais de la société qu'il avait avancés à titre personnel. On discerne donc les motifs qui ont guidé la cour cantonale à retenir le dessein d'enrichissement illégitime dans le cas de la perception des dividendes des actions C.________, et non dans celui de la perception du produit de la vente des 1'400 actions C.________. Il n'y a pas de défaut de motivation qui serait constitutif d'une violation du droit d'être entendu.</w:t>
      </w:r>
    </w:p>
    <w:p>
      <w:r>
        <w:rPr>
          <w:b/>
        </w:rPr>
        <w:t>E. 5</w:t>
      </w:r>
    </w:p>
    <w:p>
      <w:r>
        <w:t>Le recours doit ainsi être rejeté dans la mesure de sa recevabilité.</w:t>
      </w:r>
    </w:p>
    <w:p>
      <w:r>
        <w:t>Le recourant qui succombe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