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494/2008 vom 12. September 2008</w:t>
      </w:r>
    </w:p>
    <w:p>
      <w:r>
        <w:t>Bundesgericht, 2008-09-12, FR</w:t>
      </w:r>
    </w:p>
    <w:p>
      <w:r>
        <w:rPr>
          <w:b/>
        </w:rPr>
        <w:t xml:space="preserve">Quelle: </w:t>
      </w:r>
      <w:r>
        <w:t>https://mcp.opencaselaw.ch/entscheid/bger_6B_494_2008</w:t>
      </w:r>
    </w:p>
    <w:p>
      <w:r>
        <w:t>FR: TF 6B 494/2008 du 12 septembre 2008</w:t>
      </w:r>
    </w:p>
    <w:p>
      <w:r>
        <w:t>IT: TF 6B 494/2008 del 12 settembre 2008</w:t>
      </w:r>
    </w:p>
    <w:p>
      <w:pPr>
        <w:pStyle w:val="Heading2"/>
      </w:pPr>
      <w:r>
        <w:t>Regeste</w:t>
      </w:r>
    </w:p>
    <w:p>
      <w:r>
        <w:t>Fixation de la peine | Droit pénal (en général)</w:t>
      </w:r>
    </w:p>
    <w:p>
      <w:pPr>
        <w:pStyle w:val="Heading2"/>
      </w:pPr>
      <w:r>
        <w:t>Erwägungen</w:t>
      </w:r>
    </w:p>
    <w:p>
      <w:r>
        <w:rPr>
          <w:b/>
        </w:rPr>
        <w:t>E. 1.1</w:t>
      </w:r>
    </w:p>
    <w:p>
      <w:r>
        <w:t>La décision attaquée a été rendue par une autorité cantonale de dernière instance ( art. 80 al. 1 LTF ), dans une cause de droit pénal ( art. 78 al. 1 LTF ). Elle peut donc faire l'objet d'un recours en matière pénale ( art. 78 ss LTF ), que le recourant qui conteste la sanction infligée est habilité à former (art. 81 al. 1 let. a et let. b ch. 3 LTF).</w:t>
      </w:r>
    </w:p>
    <w:p>
      <w:r>
        <w:rPr>
          <w:b/>
        </w:rPr>
        <w:t>E. 1.2</w:t>
      </w:r>
    </w:p>
    <w:p>
      <w:r>
        <w:t>Le recours en matière pénale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 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 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Se fondant sur l' art. 47 CP , le recourant fait valoir que la peine infligée à l'intimé est excessivement clémente. La cour cantonale a retenu, au titre de circonstance atténuante, l'état d'ébriété de la victime et son consentement à l'acte sexuel une fois qu'elle était étendue sur le matelas abandonné au bord de l'Arve. Pour le recourant, les juges cantonaux se sont trompés sur le sens et la portée de certains éléments de fait (en particulier concernant l'état d'ébriété de la victime et son prétendu consentement aux actes) et en ont tiré des conclusions insoutenables, au stade de la fixation de la peine.</w:t>
      </w:r>
    </w:p>
    <w:p>
      <w:r>
        <w:rPr>
          <w:b/>
        </w:rPr>
        <w:t>E. 2.1.1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2.1.2</w:t>
      </w:r>
    </w:p>
    <w:p>
      <w:r>
        <w:t>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 ATF 129 IV 6 consid. 6.1). 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2.1.3</w:t>
      </w:r>
    </w:p>
    <w:p>
      <w:r>
        <w:t>En cas de viol, la gravité de l'acte et, partant, de la faute se détermine en premier lieu en fonction des moyens de contrainte utilisés par l'auteur. Lorsque l'auteur a fait preuve de cruauté envers la victime, le juge doit tenir compte, lors de la fixation de la peine, du degré de cruauté avec lequel la victime a été traitée ( ATF 118 IV 342 consid. 2b p. 347/348). Le comportement de la victime peut constituer une circonstance atténuante, si la victime provoque l'auteur par un comportement initial. Ainsi, selon l' art. 48 CP , le juge peut atténuer la peine lorsque « l'auteur a été induit en tentation grave par la conduite de la victime ». Selon cette disposition, il faut toutefois que la victime ait excité et tenté l'auteur jusqu'à ce qu'il succombe, par un comportement actif ou par des pressions morales ( ATF 97 IV 76 ). La conduite de la victime doit avoir été si provocante que même un homme conscient de ses responsabilités aurait eu de la peine à y résister ( ATF 102 IV 273 consid. 2c p. 278; 98 IV 67 consid. 1c p. 71). Le juge ne saurait retenir cette circonstance atténuante au motif que la « morale » de la victime serait douteuse ou que l'auteur se serait vu offert une « occasion favorable »; un éventuel comportement de la victime « proche du consentement » peut toutefois être pris en compte lors de la fixation de la peine dans le cadre de l' art. 47 CP (Schwarzenegger/Hug/Jositsch, Strafrecht II, Strafen und Massnahmen, 8e éd., Zurich 2007, p. 82; Stratenwerth, Schweizerisches Strafrecht, Allgemeiner Teil II: Strafen und Massnahmen, 2e éd., Berne 2006, § 6, n. 100, p. 221; Wiprächtiger, Basler Kommentar, Strafrecht I, 2e éd., 2007, Art. 48, n. 22). En revanche, le comportement de la victime en réaction à l'acte de contrainte est en règle générale sans pertinence. Ainsi, il n'y a pas lieu d'atténuer la peine du seul fait que la victime n'a pas opposé de résistance et s'est prêtée de plein gré aux entreprises de l'auteur surexité (Favre/Pellet/Stoudmann, Code pénal annoté, Lausanne 2007, art. 48, n. 1.9).</w:t>
      </w:r>
    </w:p>
    <w:p>
      <w:r>
        <w:rPr>
          <w:b/>
        </w:rPr>
        <w:t>E. 2.2</w:t>
      </w:r>
    </w:p>
    <w:p>
      <w:r>
        <w:t>Il ressort de l'état de faits cantonal que l'intimé a menacé sa victime d'un tesson de verre plaqué sous la gorge et qu'il l'a traînée en fin de nuit au bord de l'Arve dans un coin isolé. Craignant pour sa vie, la victime a alors faire croire à l'intimé qu'elle était consentante. Intervenu postérieurement à l'agression et induit par le comportement menaçant de l'intimé, le consentement de la victime à l'acte sexuel ne saurait en l'espèce diminuer la gravité de l'acte reproché à l'intimé. C'est également à tort que la cour cantonale a retenu l'état d'ébriété de la victime en tant que circonstance atténuante dans la mesure où il n'est pas établi en fait que la jeune fille, ivre, a provoqué l'intimé par son comportement initial. L'ivresse de la victime serait, au contraire, plutôt de nature à augmenter la faute de l'intimé en ce sens que celui-ci a profité de sa vulnérabilité. Comme la cour cantonale a fixé la peine sur la base de critères non pertinents, le grief de violation de l' art. 47 CP est bien fondé. Le viol avec cruauté est passible d'une peine privative de liberté de trois à vingt ans ( art. 190 al. 3 CP ). La peine infligée à l'intimé demeure ainsi au bas de l'échelle des sanctions entrant en considération, ce qui n'est pas justifié au regard des circonstances concrètes. Le recourant indique à juste titre que la cour cantonale est partie à tort d'une peine maximale de dix ans.</w:t>
      </w:r>
    </w:p>
    <w:p>
      <w:r>
        <w:rPr>
          <w:b/>
        </w:rPr>
        <w:t>E. 3</w:t>
      </w:r>
    </w:p>
    <w:p>
      <w:r>
        <w:t>En conséquence, le recours doit être admis, l'arrêt attaqué doit être annulé et la cause doit être renvoyée à la cour cantonale pour qu'elle fixe une nouvelle peine. L'intimé, qui succombe, supporte les frais de la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