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6B_491/2011 vom 3. November 2011</w:t>
      </w:r>
    </w:p>
    <w:p>
      <w:r>
        <w:t>Bundesgericht, 2011-11-03, FR</w:t>
      </w:r>
    </w:p>
    <w:p>
      <w:r>
        <w:rPr>
          <w:b/>
        </w:rPr>
        <w:t xml:space="preserve">Quelle: </w:t>
      </w:r>
      <w:r>
        <w:t>https://mcp.opencaselaw.ch/entscheid/bger_6B_491_2011</w:t>
      </w:r>
    </w:p>
    <w:p>
      <w:r>
        <w:t>FR: TF 6B_491/2011 du 3 novembre 2011</w:t>
      </w:r>
    </w:p>
    <w:p>
      <w:r>
        <w:t>IT: TF 6B_491/2011 del 3 novembre 2011</w:t>
      </w:r>
    </w:p>
    <w:p>
      <w:pPr>
        <w:pStyle w:val="Heading2"/>
      </w:pPr>
      <w:r>
        <w:t>Erwägungen</w:t>
      </w:r>
    </w:p>
    <w:p>
      <w:r>
        <w:rPr>
          <w:b/>
        </w:rPr>
        <w:t>E. 1</w:t>
      </w:r>
    </w:p>
    <w:p>
      <w:r>
        <w:t>Le recours en matière pénale est ouvert contre l'arrêt attaqué tant sur le plan pénal ( art. 78 al. 1 LTF ) que civil ( art. 78 al. 2 let. a LTF ).</w:t>
      </w:r>
    </w:p>
    <w:p>
      <w:r>
        <w:rPr>
          <w:b/>
        </w:rPr>
        <w:t>E. 2.1</w:t>
      </w:r>
    </w:p>
    <w:p>
      <w:r>
        <w:t>Le recourant soutient que l'autre conductrice ayant enclenché son clignotant à droite, il pouvait la dépasser par la gauche. Dans ces circonstances, on ne saurait lui reprocher de n'avoir pas respecté une distance suffisante avec le véhicule qui le précédait. En effet, sa man?uvre d'évitement aurait abouti, si la conductrice n'avait pas inopinément bifurqué dans la direction opposée à celle signalée.</w:t>
      </w:r>
    </w:p>
    <w:p>
      <w:r>
        <w:rPr>
          <w:b/>
        </w:rPr>
        <w:t>E. 2.2</w:t>
      </w:r>
    </w:p>
    <w:p>
      <w:r>
        <w:t>L' art. 34 al. 4 LCR prévoit que le conducteur doit observer une distance suffisante notamment lorsque des véhicules se suivent. Cette disposition est concrétisée à l' art. 12 al. 1 OCR , selon lequel lorsque des véhicules se suivent, le conducteur se tiendra à une distance suffisante du véhicule qui le précède, afin de pouvoir s'arrêter à temps en cas de freinage inattendu. L'irrespect d'une distance suffisante constitue une violation simple ( art. 90 ch. 1 LCR ), le cas échéant grave ( art. 90 ch. 2 LCR ) des règles de la circulation ( ATF 131 IV 133 consid. 3; PHILIPPE WEISSENBERGER, Kommentar zum Strassenverkehrsgesetz, n. 51 ss ad art. 34 LCR ).</w:t>
      </w:r>
    </w:p>
    <w:p>
      <w:r>
        <w:rPr>
          <w:b/>
        </w:rPr>
        <w:t>E. 2.3</w:t>
      </w:r>
    </w:p>
    <w:p>
      <w:r>
        <w:t>L'arrêt attaqué a confirmé l'état de fait du jugement de première instance. Il ressort de celui-ci qu'au moment où l'intimée a brusquement freiné, le recourant la suivait à environ 15-20 m, alors que la distance de sécurité s'élevait à un peu plus de 44 m compte tenu d'une chaussée humide et d'une vitesse de 80 km/h (cf. jugement de première instance p. 10 in fine et 11). En outre, le recourant ne s'est pas déporté sur la voie de circulation gauche pour opérer une manoeuvre de dépassement, mais parce que le freinage d'urgence qu'il avait entrepris quelques instants auparavant ne lui avait pas permis de s'immobiliser et qu'il avait dès lors donné un coup de volant à gauche pour éviter le choc (arrêt attaqué p. 8 § 1). Cela étant, il ne s'est pas porté sur la voie de circulation gauche en anticipant le dépassement de l'intimée, mais bien plutôt parce qu'en la suivant à quelque 15-20 m au lieu de 44 m, il ne disposait plus de la distance suffisante pour s'immobiliser derrière elle sans collision. Dans ces circonstances, il est établi qu'il n'a pas respecté une distance de sécurité suffisante.</w:t>
      </w:r>
    </w:p>
    <w:p>
      <w:r>
        <w:t>Contrairement à ce que suppose le recourant, l'infraction réprimée par l' art. 90 ch. 1 LCR n'implique pas de déterminer si son comportement a joué un rôle primordial ou non dans l'accident. Les règles de la circulation sont des prescriptions de sécurité destinées à prévenir les accidents. L'infraction visée par l' art. 90 ch. 1 LCR est conçue comme un délit formel de mise en danger abstrait, de sorte qu'il suffit de violer une règle de comportement imposée par la loi pour que l'infraction soit consommée, indépendamment de la survenance d'un danger concret ou d'une lésion ( ATF 92 IV 33 consid. 1 p. 34; arrêt 6B_965/2010 du 17 mai 2011 consid. 3.2; cf. YVAN JEANNERET, Les dispositions pénales de la Loi sur la circulation routière, n. 17 ad art. 90 LCR ).</w:t>
      </w:r>
    </w:p>
    <w:p>
      <w:r>
        <w:t>Il s'ensuit que la condamnation du recourant en vertu de l' art. 90 ch. 1 LCR ne viole pas le droit fédéral. Son argumentation est infondée.</w:t>
      </w:r>
    </w:p>
    <w:p>
      <w:r>
        <w:rPr>
          <w:b/>
        </w:rPr>
        <w:t>E. 2.4</w:t>
      </w:r>
    </w:p>
    <w:p>
      <w:r>
        <w:t>Sur le plan civil, le recourant se limite à prétendre à l'entier de ses prétentions dès lors qu'il doit être acquitté pénalement. Il ne formule aucune critique recevable au regard de l' art. 42 al. 2 LTF sur l'application du droit civil par l'autorité précédente. Il n'y a dès lors pas lieu d'entrer en matière sur ce point, à défaut de tout grief recevable.</w:t>
      </w:r>
    </w:p>
    <w:p>
      <w:r>
        <w:rPr>
          <w:b/>
        </w:rPr>
        <w:t>E. 3</w:t>
      </w:r>
    </w:p>
    <w:p>
      <w:r>
        <w:t>Les frais de la cause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