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490/2020 vom 28. Mai 2020</w:t>
      </w:r>
    </w:p>
    <w:p>
      <w:r>
        <w:t>Bundesgericht, 2020-05-28, DE</w:t>
      </w:r>
    </w:p>
    <w:p>
      <w:r>
        <w:rPr>
          <w:b/>
        </w:rPr>
        <w:t xml:space="preserve">Quelle: </w:t>
      </w:r>
      <w:r>
        <w:t>https://mcp.opencaselaw.ch/entscheid/bger_6B_490_2020</w:t>
      </w:r>
    </w:p>
    <w:p>
      <w:r>
        <w:t>FR: TF 6B 490/2020 du 28 mai 2020</w:t>
      </w:r>
    </w:p>
    <w:p>
      <w:r>
        <w:t>IT: TF 6B 490/2020 del 28 maggio 2020</w:t>
      </w:r>
    </w:p>
    <w:p>
      <w:pPr>
        <w:pStyle w:val="Heading2"/>
      </w:pPr>
      <w:r>
        <w:t>Regeste</w:t>
      </w:r>
    </w:p>
    <w:p>
      <w:r>
        <w:t>Bedingte Entlassung aus dem Strafvollzug; Nichteintreten | Straf- und Massnahmenvollzug</w:t>
      </w:r>
    </w:p>
    <w:p>
      <w:pPr>
        <w:pStyle w:val="Heading2"/>
      </w:pPr>
      <w:r>
        <w:t>Erwägungen</w:t>
      </w:r>
    </w:p>
    <w:p>
      <w:r>
        <w:rPr>
          <w:b/>
        </w:rPr>
        <w:t>E. 1</w:t>
      </w:r>
    </w:p>
    <w:p>
      <w:r>
        <w:t>Staatsanwaltschaft des Kantons St. Gallen,</w:t>
      </w:r>
    </w:p>
    <w:p>
      <w:r>
        <w:rPr>
          <w:b/>
        </w:rPr>
        <w:t>E. 2</w:t>
      </w:r>
    </w:p>
    <w:p>
      <w:r>
        <w:t>Anfechtungsobjekt ist der letztinstanzliche kantonale Entscheid ( Art. 80 Abs. 1 BGG ). Streitgegenstand bildet dabei alleine die Verweigerung der bedingten Entlassung. Nicht dazu gehört die Unterbringung des Beschwerdeführers in der geschlossenen Abteilung der Strafanstalt. Auf die diesbezügliche Kritik in der Beschwerde ist daher von vornherein nicht einzutreten.</w:t>
      </w:r>
    </w:p>
    <w:p>
      <w:r>
        <w:rPr>
          <w:b/>
        </w:rPr>
        <w:t>E. 3</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 Art. 86 Abs. 1 StGB ). Die zuständige Behörde hat den Gefangenen anzuhören ( Art. 86 Abs. 2 StGB ). Die (Legal-) Prognose über das künftige Wohlverhalten ist in einer Gesamtwürdigung zu erstellen, welche nebst dem Vorleben, der Persönlichkeit und dem Verhalten des Gefangenen während des Strafvollzugs vor allem dessen neuere Einstellung zu seinen Taten, seine allfällige Besserung und die nach der Entlassung zu erwartenden Lebensverhältnisse berücksichtigt ( BGE 133 IV 201 E. 2.3 S. 204; 125 IV 113 E. 2a S.115; je mit Hinweisen).</w:t>
      </w:r>
    </w:p>
    <w:p>
      <w:r>
        <w:rPr>
          <w:b/>
        </w:rPr>
        <w:t>E. 4</w:t>
      </w:r>
    </w:p>
    <w:p>
      <w:r>
        <w:t>In einer Beschwerde ans Bundesgericht ist unter Hinweis auf den angefochtenen Entscheid darzulegen, inwieweit dieser nach Auffassung des Beschwerdeführers gegen das Recht verstösst ( Art. 42 Abs. 2 BGG ).</w:t>
      </w:r>
    </w:p>
    <w:p>
      <w:r>
        <w:rPr>
          <w:b/>
        </w:rPr>
        <w:t>E. 5</w:t>
      </w:r>
    </w:p>
    <w:p>
      <w:r>
        <w:t>Die Beschwerde genügt diesen Anforderungen nicht. Die Vorinstanz unterzieht die prognoserelevanten Umstände einer Gesamtwürdigung und legt dar, weshalb sie zum Schluss gelangt, dass zur Zeit keine günstige Prognose für künftiges Wohlverhalten gestellt werden kann. Damit befasst sich der Beschwerdeführer vor Bundesgericht nicht ansatzweise. Stattdessen beschränkt er sich darauf, gestützt auf die im angefochtenen Entscheid zu seinen Gunsten gewürdigten Faktoren (wie z.B. Vorstrafenlosigkeit, Vollzugverhalten, erstmalige Straffälligkeit) erneut um bedingte Entlassung zu ersuchen. Zudem bringt er sinngemäss vor, nur deshalb nicht bedingt entlassen worden zu sein, weil er einer freiwilligen Rückkehr in sein Heimatland nicht zugestimmt habe. Damit zeigt der Beschwerdeführer weder eine willkürliche noch eine ermessensfehlerhafte oder sonstwie bundesrechtswidrige Rechtsanwendung durch die Vorinstanz auf. Abgesehen davon verkennt er, dass eine Beurteilung der Bewährungsaussichten im Heimatland für die Legalprognose in der Schweiz irrelevant ist. Dass und inwiefern die Vorinstanz mit der Verweigerung der bedingten Entlassung Recht im Sinne von Art. 95 BGG verletzt haben könnte, ergibt sich aus der Beschwerde nicht. Mangels einer tauglichen Begründung ist darauf im Verfahren nach Art. 108 BGG nicht einzutreten.</w:t>
      </w:r>
    </w:p>
    <w:p>
      <w:r>
        <w:rPr>
          <w:b/>
        </w:rPr>
        <w:t>E. 6</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