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6B_490/2019 vom 8. Juli 2019</w:t>
      </w:r>
    </w:p>
    <w:p>
      <w:r>
        <w:t>Bundesgericht, 2019-07-08, FR</w:t>
      </w:r>
    </w:p>
    <w:p>
      <w:r>
        <w:rPr>
          <w:b/>
        </w:rPr>
        <w:t xml:space="preserve">Quelle: </w:t>
      </w:r>
      <w:r>
        <w:t>https://mcp.opencaselaw.ch/entscheid/bger_6B_490_2019</w:t>
      </w:r>
    </w:p>
    <w:p>
      <w:r>
        <w:t>FR: TF 6B_490/2019 du 8 juillet 2019</w:t>
      </w:r>
    </w:p>
    <w:p>
      <w:r>
        <w:t>IT: TF 6B_490/2019 del 8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examine d'office ( art. 29 al. 1 LTF ) et librement la recevabilité des recours qui lui sont soumis ( ATF 143 IV 357 consid. 1 p. 358).</w:t>
      </w:r>
    </w:p>
    <w:p>
      <w:r>
        <w:rPr>
          <w:b/>
        </w:rPr>
        <w:t>E. 1.1</w:t>
      </w:r>
    </w:p>
    <w:p>
      <w:r>
        <w:t>Conformément à l' art. 42 al. 1 LTF , le mémoire de recours doit être motivé et contenir des conclusions. Celles-ci doivent exprimer sur quels points la décision entreprise doit être modifiée et comment. La jurisprudence a aussi déduit de cette norme l'obligation pour le recourant d'alléguer les faits qu'il considère comme propres à fonder sa qualité pour recourir ( ATF 141 IV 1 consid. 1.1 p. 4). Les motifs doivent, en outre, exposer succinctement en quoi la décision attaquée viole le droit ( art. 42 al. 2 LTF ). Selon la jurisprudence, pour répondre à cette exigence, la partie recourante est tenue de discuter au moins sommairement les considérants de l'arrêt entrepris ( ATF 140 III 86 consid. 2 et 115 consid. 2; 134 II 244 consid. 2.1); en particulier, la motivation doit être topique, c'est-à-dire se rapporter à la question juridique tranchée par l'autorité cantonale ( ATF 123 V 335 ; arrêt 6B_970/2017 du 17 octobre 2017 consid. 4).</w:t>
      </w:r>
    </w:p>
    <w:p>
      <w:r>
        <w:rPr>
          <w:b/>
        </w:rPr>
        <w:t>E. 1.2</w:t>
      </w:r>
    </w:p>
    <w:p>
      <w:r>
        <w:t>En l'espèce, le recourant n'établit nullement sa qualité pour recourir. Il persiste à faire valoir une violation de l' art. 7 CEDH sans exposer, par une motivation topique répondant aux exigences en la matière, en quoi la décision attaquée viole le droit. Son écriture est de surcroît dépourvue de conclusion.</w:t>
      </w:r>
    </w:p>
    <w:p>
      <w:r>
        <w:rPr>
          <w:b/>
        </w:rPr>
        <w:t>E. 2</w:t>
      </w:r>
    </w:p>
    <w:p>
      <w:r>
        <w:t>Au vu de ce qui précède. le recours doit être déclaré irrecevable en application de l' art. 108 al. 1 let. a et b LTF . Comme il était dénué de chances de succès, l'assistance judiciaire ne peut être accordée ( art. 64 al. 1 LTF ). Le recourant, qui succombe, supportera les frais judiciaires, qui seront fixés en tenant compte de sa situation financière, laquelle n'apparaît pas favorable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