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6B_48/2024 vom 4. Juli 2024</w:t>
      </w:r>
    </w:p>
    <w:p>
      <w:r>
        <w:t>Bundesgericht, 2024-07-04, FR</w:t>
      </w:r>
    </w:p>
    <w:p>
      <w:r>
        <w:rPr>
          <w:b/>
        </w:rPr>
        <w:t xml:space="preserve">Quelle: </w:t>
      </w:r>
      <w:r>
        <w:t>https://mcp.opencaselaw.ch/entscheid/bger_6B_48_2024</w:t>
      </w:r>
    </w:p>
    <w:p>
      <w:r>
        <w:t>FR: TF 6B_48/2024 du 4 juillet 2024</w:t>
      </w:r>
    </w:p>
    <w:p>
      <w:r>
        <w:t>IT: TF 6B_48/2024 del 4 luglio 2024</w:t>
      </w:r>
    </w:p>
    <w:p>
      <w:pPr>
        <w:pStyle w:val="Heading2"/>
      </w:pPr>
      <w:r>
        <w:t>Erwägungen</w:t>
      </w:r>
    </w:p>
    <w:p>
      <w:r>
        <w:rPr>
          <w:b/>
        </w:rPr>
        <w:t>E. 1</w:t>
      </w:r>
    </w:p>
    <w:p>
      <w:r>
        <w:t>Le recourant s'en prend d'abord à l'établissement des faits, qu'il qualifie de manifestement inexact.</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1.2</w:t>
      </w:r>
    </w:p>
    <w:p>
      <w:r>
        <w:t>Dans son argumentation, le recourant livre sa propre appréciation des faits, se bornant à qualifier d'arbitraire celle de la cour cantonale. C'est ainsi qu'il reproche à la cour cantonale d'avoir arbitrairement repris les faits tels que relatés dans l'acte d'accusation, qui reposaient en premier lieu sur les déclarations de C.________, alors qu'il était admis que ce dernier avait menti en prétendant qu'il n'avait pas de couteau. Il fait également grief à la cour cantonale de ne pas avoir retenu, de manière arbitraire, sur la base des déclarations de l'agent de détention F.________, que C.________ s'étaient "battus à coups de couteau" avec lui. Il qualifie aussi d'arbitraire le fait d'avoir retenu deux épisodes distincts, séparés par l'intervention des agents de détention qui avaient ouvert la trappe de la cellule et par la remise à ceux-ci des deux couteaux que tenait le recourant. Une telle argumentation, de nature essentiellement appellatoire, ne satisfait pas aux exigences de motivation posées à l' art. 106 al. 2 LTF . Elle est irrecevable.</w:t>
      </w:r>
    </w:p>
    <w:p>
      <w:r>
        <w:rPr>
          <w:b/>
        </w:rPr>
        <w:t>E. 2</w:t>
      </w:r>
    </w:p>
    <w:p>
      <w:r>
        <w:t>Le recourant reproche à la cour cantonale de ne pas avoir examiné s'il avait agi en état de défense excusable selon l' art. 16 CP .</w:t>
      </w:r>
    </w:p>
    <w:p>
      <w:r>
        <w:rPr>
          <w:b/>
        </w:rPr>
        <w:t>E. 2.1</w:t>
      </w:r>
    </w:p>
    <w:p>
      <w:r>
        <w:t>Aux termes de l' art. 15 CP , quiconque, de manière contraire au droit, est attaqué ou menacé d'une attaque imminente a le droit de repousser l'attaque par des moyens proportionnés aux circonstances; le même droit appartient aux tiers.</w:t>
      </w:r>
    </w:p>
    <w:p>
      <w:r>
        <w:t>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p. 14). Le droit à la légitime défense s'éteint lorsque l'attaque est achevée. L'acte de celui qui est attaqué ou menacé de l'être doit tendre à la défense; un comportement visant à se venger ou à punir ne relève pas de la légitime défense. Une attaque n'est pas achevée aussi longtemps que le risque d'une nouvelle atteinte ou d'une aggravation de celle-ci par l'assaillant reste imminent ( ATF 102 IV 1 consid. 2b p. 4 s.).</w:t>
      </w:r>
    </w:p>
    <w:p>
      <w:r>
        <w:t>Il y a défense excusable selon l' art. 16 CP , lorsque l'auteur, en repoussant une attaque, excède les limites de la légitime défense au sens de l' art. 15 CP . Dans ce cas, le juge doit atténuer la peine ( art. 16 al. 1 CP ). Si cet excès provient d'un état excusable d'excitation ou de saisissement causé par l'attaque, l'auteur n'agit pas de manière coupable ( art. 16 al. 2 CP ).</w:t>
      </w:r>
    </w:p>
    <w:p>
      <w:r>
        <w:rPr>
          <w:b/>
        </w:rPr>
        <w:t>E. 2.2</w:t>
      </w:r>
    </w:p>
    <w:p>
      <w:r>
        <w:t>Selon l'état de fait cantonal, C.________ a saisi une table en plastique pour frapper son codétenu et a lancé ce meuble sur lui. Dans un premier temps, il y a donc bien eu une attaque de la part de C.________, contre laquelle le recourant s'est défendu en saisissant deux couteaux. Les agents de détention sont toutefois intervenus et, alors qu'ils étaient dans la cellule, que les couteaux leur avaient été remis et que C.________ se dirigeait vers son lit, le recourant a saisi une paire de ciseaux et un autre couteau et s'est dirigé vers sa victime pour l'agresser. Lorsque le recourant a décidé de reprendre les hostilités, l'attaque de C.________ était achevée. C'est donc à juste titre que la cour cantonale a retenu qu'il avait endossé le rôle d'assaillant. Dans ces conditions, le recourant ne peut pas se prévaloir de l'état de légitime défense ou de l'état de défense excusable (en cas de défense excessive). La cour cantonale n'a ainsi pas violé le droit fédéral en condamnant le recourant pour tentative de lésions corporelles graves (art. 122 en relation avec l' art. 22 CP ) et lésions corporelles simples qualifiées ( art. 123 ch. 2 CP ; usage d'un objet dangereux), sans atténuer la peine pour tenir compte d'un état de défense excusable au sens de l' art. 16 CP .</w:t>
      </w:r>
    </w:p>
    <w:p>
      <w:r>
        <w:rPr>
          <w:b/>
        </w:rPr>
        <w:t>E. 3</w:t>
      </w:r>
    </w:p>
    <w:p>
      <w:r>
        <w:t>Le recourant reproche à la cour cantonale de ne pas avoir retenu la circonstance atténuante du long temps écoulé prévue à l' art. 48 let . e CP.</w:t>
      </w:r>
    </w:p>
    <w:p>
      <w:r>
        <w:rPr>
          <w:b/>
        </w:rPr>
        <w:t>E. 3.1</w:t>
      </w:r>
    </w:p>
    <w:p>
      <w:r>
        <w:t>La cour cantonale a refusé de retenir cette circonstance atténuante dans la mesure où c'était le défaut du recourant lors de la première audience de jugement qui était "responsable du temps écoulé depuis la commission des faits" (jugement attaqué p. 23). Le recourant fait toutefois valoir que sa demande de nouveau jugement avait été admise précisément au motif que ce n'était pas fautivement qu'il ne s'était pas présenté aux débats de 2019.</w:t>
      </w:r>
    </w:p>
    <w:p>
      <w:r>
        <w:rPr>
          <w:b/>
        </w:rPr>
        <w:t>E. 3.2</w:t>
      </w:r>
    </w:p>
    <w:p>
      <w:r>
        <w:t>En tout état de cause, il convient de relever que les conditions de la circonstance atténuante du long temps écoulé ne sont pas réalisées. En effet, selon l' art. 48 let . e CP, le juge atténue la peine si l'intérêt à punir a sensiblement diminué en raison du temps écoulé depuis l'infraction et si l'auteur s'est bien comporté dans l'intervalle. Or, il ressort du jugement attaqué que le recourant a été condamné pour infraction à la loi fédérale sur les étrangers et l'intégration en 2019 (jugement attaqué p. 11), de sorte que l'on ne saurait soutenir qu'il s'est bien comporté depuis les infractions commises en janvier 2017. La circonstance atténuante de l'écoulement du temps ne peut donc pas être retenue. Le grief tiré de la violation de l' art. 48 let . e CP doit être rejeté.</w:t>
      </w:r>
    </w:p>
    <w:p>
      <w:r>
        <w:rPr>
          <w:b/>
        </w:rPr>
        <w:t>E. 4</w:t>
      </w:r>
    </w:p>
    <w:p>
      <w:r>
        <w:t>Enfin, le recourant a conclu à ce qu'il ne soit pas expulsé du territoire suisse. Il ne motive toutefois pas du tout cette conclusion dans son mémoire de recours, de sorte qu'il n'y a pas lieu d'entrer en matière sur celle-ci. Dans tous les cas, on rappelera que l'état de défense excusable a été nié en l'espèce (cf. consid. 2) et qu'en conséquence, l' art. 66a al. 3 CP qui permet de renoncer à l'expulsion si l'acte a été commis en état de défense excusable ( art. 16 al. 1 CP ) ne saurait entrer en considération.</w:t>
      </w:r>
    </w:p>
    <w:p>
      <w:r>
        <w:rPr>
          <w:b/>
        </w:rPr>
        <w:t>E. 5</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