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6B_489/2013 vom 9. Juli 2013</w:t>
      </w:r>
    </w:p>
    <w:p>
      <w:r>
        <w:t>Bundesgericht, 2013-07-09, FR</w:t>
      </w:r>
    </w:p>
    <w:p>
      <w:r>
        <w:rPr>
          <w:b/>
        </w:rPr>
        <w:t xml:space="preserve">Quelle: </w:t>
      </w:r>
      <w:r>
        <w:t>https://mcp.opencaselaw.ch/entscheid/bger_6B_489_2013</w:t>
      </w:r>
    </w:p>
    <w:p>
      <w:r>
        <w:t>FR: TF 6B_489/2013 du 9 juillet 2013</w:t>
      </w:r>
    </w:p>
    <w:p>
      <w:r>
        <w:t>IT: TF 6B_489/2013 del 9 luglio 2013</w:t>
      </w:r>
    </w:p>
    <w:p>
      <w:pPr>
        <w:pStyle w:val="Heading2"/>
      </w:pPr>
      <w:r>
        <w:t>Erwägungen</w:t>
      </w:r>
    </w:p>
    <w:p>
      <w:r>
        <w:rPr>
          <w:b/>
        </w:rPr>
        <w:t>E. 1</w:t>
      </w:r>
    </w:p>
    <w:p>
      <w:r>
        <w:t>Invoquant les art. 9, 325 et 350 CPP , le recourant soutient que les autorités cantonales ont violé le principe d'accusation s'agissant de sa condamnation pour blanchiment d'argent.</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1.2</w:t>
      </w:r>
    </w:p>
    <w:p>
      <w:r>
        <w:t>L'art. 305</w:t>
      </w:r>
    </w:p>
    <w:p>
      <w:r>
        <w:t>bis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Cette infraction est composée de trois éléments constitutifs, soit l'existence de valeurs patrimoniales provenant d'un crime, l'acte propre à entraver l'identification de l'origine, la découverte ou la confiscation et l'intention.</w:t>
      </w:r>
    </w:p>
    <w:p>
      <w:r>
        <w:t>Les valeurs patrimoniales blanchies doivent provenir d'un crime au sens de l' art. 10 al. 2 CP , soit d'une infraction passible d'une peine privative de liberté de plus de trois ans.</w:t>
      </w:r>
    </w:p>
    <w:p>
      <w:r>
        <w:rPr>
          <w:b/>
        </w:rPr>
        <w:t>E. 1.3</w:t>
      </w:r>
    </w:p>
    <w:p>
      <w:r>
        <w:t>Le recourant soutient que le principe d'accusation aurait été violé dès lors que l'acte d'accusation ne contiendrait aucune précision relative au prétendu crime préalable qui lui aurait permis de commettre un blanchiment d'argent.</w:t>
      </w:r>
    </w:p>
    <w:p>
      <w:r>
        <w:rPr>
          <w:b/>
        </w:rPr>
        <w:t>E. 1.4</w:t>
      </w:r>
    </w:p>
    <w:p>
      <w:r>
        <w:t>Dans sa partie consacrée au blanchiment d'argent, l'acte d'accusation détaille onze voyages effectués entre la Suisse et l'Espagne lors desquels le recourant a transporté de l'argent pour le compte d'un certain « Y.________ ». Après chaque comportement reproché, il est indiqué que le recourant « n'ignorait pas, voire ne pouvait pas ignorer, que cette somme provenait d'un trafic de stupéfiant » ( art. 105 al. 2 LTF ). Il ressort ainsi clairement de l'acte d'accusation que le crime préalable envisagé est le trafic de stupéfiants au sens de l' art. 19 al. 2 LStup , les autres éléments constitutifs de l'infraction de blanchiment étant également décrits. Il ressort de l'arrêt entrepris que le recourant a admis les faits qui lui étaient reprochés, plus particulièrement qu'il avait envisagé que l'argent transporté provenait du trafic de stupéfiants. Il connaissait ainsi exactement les faits qui lui étaient imputés et les peines et mesures auxquelles il s'exposait, points sur lesquels il a pu s'expliquer et préparer efficacement sa défense. A cet égard, le recourant ne prétend d'ailleurs pas avoir été empêché de préparer utilement sa défense. Le principe d'accusation n'a par conséquent pas été violé. Au demeurant, si le recourant estimait que le crime préalable n'était pas suffisamment établi, il lui appartenait de soulever ce point au fond, c'est-à-dire de soutenir que l'un des éléments constitutifs de l'infraction n'était pas réalisé, ce qu'il n'a pas fait ni devant la cour cantonale, ni devant la cour de céans. Mal fondé, son grief est rejeté.</w:t>
      </w:r>
    </w:p>
    <w:p>
      <w:r>
        <w:rPr>
          <w:b/>
        </w:rPr>
        <w:t>E. 2</w:t>
      </w:r>
    </w:p>
    <w:p>
      <w:r>
        <w:t>Le recours doit être rejeté.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