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488/2007 vom 7. Dezember 2007</w:t>
      </w:r>
    </w:p>
    <w:p>
      <w:r>
        <w:t>Bundesgericht, 2007-12-07, FR</w:t>
      </w:r>
    </w:p>
    <w:p>
      <w:r>
        <w:rPr>
          <w:b/>
        </w:rPr>
        <w:t xml:space="preserve">Quelle: </w:t>
      </w:r>
      <w:r>
        <w:t>https://mcp.opencaselaw.ch/entscheid/bger_6B_488_2007</w:t>
      </w:r>
    </w:p>
    <w:p>
      <w:r>
        <w:t>FR: TF 6B 488/2007 du 7 décembre 2007</w:t>
      </w:r>
    </w:p>
    <w:p>
      <w:r>
        <w:t>IT: TF 6B 488/2007 del 7 dicembre 2007</w:t>
      </w:r>
    </w:p>
    <w:p>
      <w:pPr>
        <w:pStyle w:val="Heading2"/>
      </w:pPr>
      <w:r>
        <w:t>Regeste</w:t>
      </w:r>
    </w:p>
    <w:p>
      <w:r>
        <w:t>Violation simple des règles de la circulation (identité du conducteur) | Infractions</w:t>
      </w:r>
    </w:p>
    <w:p>
      <w:pPr>
        <w:pStyle w:val="Heading2"/>
      </w:pPr>
      <w:r>
        <w:t>Erwägungen</w:t>
      </w:r>
    </w:p>
    <w:p>
      <w:r>
        <w:rPr>
          <w:b/>
        </w:rPr>
        <w:t>E. 1</w:t>
      </w:r>
    </w:p>
    <w:p>
      <w:r>
        <w:t>Lorsqu'il statue sur un appel interjeté contre un prononcé préfectoral rendu en application de la loi vaudoise sur les contraventions (LContr.; RS/VD 312.11), le jugement d'un tribunal de police vaudois ne peut faire l'objet d'aucun recours cantonal si la contravention ou le délit litigieux est réprimé par une loi fédérale (cf. art. 80a al. 2 LContr.). Comme les cantons disposent d'un délai échéant à l'entrée en vigueur d'un code de procédure pénale suisse pour mettre leur organisation judiciaire en conformité avec l' art. 80 al. 2 LTF (cf. art. 130 al. 1 LTF ), le tribunal de police qui rend un tel jugement constitue valablement l'autorité de dernière instance cantonale au sens de l' art. 80 al. 1 LTF . L'art. 20a LVCR a la teneur suivante: "En cas d'infraction à la loi sur la circulation routière, le détenteur d'un véhicule est tenu d'indiquer à la police qui a conduit ou à qui il a été confié. Les règles particulières aux témoins, au sens des articles 193 à 197 du CPP, sont applicables par analogie". Le texte de cette disposition oblige donc le détenteur à désigner le conducteur à la police, sans punir expressément le refus de remplir cette obligation. Considérant visiblement que la norme sanctionnatrice se trouvait à l' art. 90 ch. 1 LCR - et non à l'art. 193 du code de procédure pénale (CPP/VD; RS/VD 312.01) applicable par analogie - les autorités cantonales de première et de deuxième instance ont appliqué l' art. 90 ch. 1 LCR au recourant, qu'elles ont, ce faisant, déclaré coupable d'une contravention de droit fédéral. Le jugement attaqué ne peut dès lors faire l'objet d'aucun recours cantonal. Partant, interjeté dans les formes et le délai prescrits par la loi (art. 42 al. 1 et 2, 46 al. 1 let. a et 100 al. 1 LTF), par un accusé qui a succombé dans ses conclusions ( art. 81 al. 1 let. b LTF ),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 En l'espèce, le recourant conteste que les éléments constitutifs de la contravention soient tous réunis. La peine n'est en soi pas litigieuse.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Dans son premier moyen, le recourant fait valoir, en substance, que sa condamnation est fondée sur une fausse interprétation des art. 20a LVCR et 193 ss CPP/VD. Mais il n'allègue pas que cette interprétation est arbitraire. 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avec la précision requise à l' art. 106 al. 2 LTF . S'il n'est pas saisi d'un tel moyen, le Tribunal fédéral est lié par les réponses que la décision attaquée donne aux questions de droit cantonal. Dès lors, faute d'être présenté comme un grief d'arbitraire, le premier moyen du recourant est irrecevable. Si la cour de céans réformait le jugement attaqué, elle serait liée par l'interprétation que le juge d'appel a faite des art. 20a LVCR et 193 ss CPP/VD.</w:t>
      </w:r>
    </w:p>
    <w:p>
      <w:r>
        <w:rPr>
          <w:b/>
        </w:rPr>
        <w:t>E. 4</w:t>
      </w:r>
    </w:p>
    <w:p>
      <w:r>
        <w:t>En second lieu, le recourant se plaint de fausse application de l' art. 90 ch. 1 LCR . L' art. 90 ch. 1 LCR réprime la violation des règles de la circulation, par quoi il faut entendre l'ensemble des dispositions figurant au titre troisième de la LCR, ainsi que les règles d'application édictées par le Conseil fédéral ( ATF 94 IV 28 consid. 5 p. 32). Il s'ensuit que l'art. 20a LVCR n'appartient pas au cercle des règles sanctionnées par l' art. 90 LCR . Partant, le détenteur qui refuse de désigner le conducteur à la police ne saurait être déclaré coupable de violation des règles de la circulation. Aussi y a-t-il eu fausse application de l' art. 90 LCR en l'espèce. Le recours, bien fondé sur ce point, doit dès lors être admis et la cause être renvoyée au juge d'appel pour nouveau jugement fondé exclusivement sur les règles de droit cantonal pertinentes.</w:t>
      </w:r>
    </w:p>
    <w:p>
      <w:r>
        <w:rPr>
          <w:b/>
        </w:rPr>
        <w:t>E. 5</w:t>
      </w:r>
    </w:p>
    <w:p>
      <w:r>
        <w:t>Comme l'accusateur public succombe, il n'y a pas lieu de prélever un émolument judiciaire ( art. 66 al. 4 LTF ). Le recourant, qui obtient gain de cause, a droit à des dépens qui devront être supportés par le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