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6B_487/2019 vom 13. Mai 2019</w:t>
      </w:r>
    </w:p>
    <w:p>
      <w:r>
        <w:t>Bundesgericht, 2019-05-13, FR</w:t>
      </w:r>
    </w:p>
    <w:p>
      <w:r>
        <w:rPr>
          <w:b/>
        </w:rPr>
        <w:t xml:space="preserve">Quelle: </w:t>
      </w:r>
      <w:r>
        <w:t>https://mcp.opencaselaw.ch/entscheid/bger_6B_487_2019</w:t>
      </w:r>
    </w:p>
    <w:p>
      <w:r>
        <w:t>FR: TF 6B_487/2019 du 13 mai 2019</w:t>
      </w:r>
    </w:p>
    <w:p>
      <w:r>
        <w:t>IT: TF 6B_487/2019 del 13 maggio 2019</w:t>
      </w:r>
    </w:p>
    <w:p>
      <w:pPr>
        <w:pStyle w:val="Heading2"/>
      </w:pPr>
      <w:r>
        <w:t>Erwägungen</w:t>
      </w:r>
    </w:p>
    <w:p>
      <w:r>
        <w:rPr>
          <w:b/>
        </w:rPr>
        <w:t>E. 1</w:t>
      </w:r>
    </w:p>
    <w:p>
      <w:r>
        <w:t>Par jugement du 15 novembre 2018, le Tribunal de police de l'arrondissement de l'Est vaudois a condamné X.________, pour détournement de valeurs patrimoniales mises sous main de justice, à une peine privative de liberté de 40 jours.</w:t>
      </w:r>
    </w:p>
    <w:p>
      <w:r>
        <w:t>X.________ a déposé une annonce puis une déclaration d'appel contre ce jugement, le 26 novembre, respectivement le 12 décembre 2018.</w:t>
      </w:r>
    </w:p>
    <w:p>
      <w:r>
        <w:t>Lors de l'audience d'appel tenue le 12 février 2019, X.________, qui avait été régulièrement cité à comparaître, ne s'est pas présenté, ni personne en son nom. Le prénommé a, le même jour, téléphoné au greffe de la cour cantonale pour indiquer qu'il s'était trompé concernant l'heure des débats.</w:t>
      </w:r>
    </w:p>
    <w:p>
      <w:r>
        <w:t>Par décision du 20 mars 2019, la Cour d'appel pénale du Tribunal cantonal du canton de Vaud a constaté le retrait de l'appel et a déclaré le jugement du 15 novembre 2018 définitif et exécutoire.</w:t>
      </w:r>
    </w:p>
    <w:p>
      <w:r>
        <w:t>X.________ forme un recours en matière pénale au Tribunal fédéral contre la décision du 20 mars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ne formule aucune conclusion au sens de l' art. 42 al. 1 LTF . Il ne présente par ailleurs aucun grief topique, répondant aux exigences de motivation découlant des art. 42 al. 2 et 106 al. 2 LTF, concernant la décision attaquée. Le recourant se borne à évoquer les efforts qu'il fait pour mettre de l'ordre dans son existence ainsi que l'impact que pourrait avoir l'exécution de la sanction qui lui a été infligée sur sa situation professionnelle, aucun de ces aspects n'ayant de rapport avec la décision attaquée.</w:t>
      </w:r>
    </w:p>
    <w:p>
      <w:r>
        <w:t>Le recourant demande par ailleurs la tenue d'une audience, sans exposer en quoi celle-ci serait nécessaire.</w:t>
      </w:r>
    </w:p>
    <w:p>
      <w:r>
        <w:t>L'intéressé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