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6B_486/2023 vom 14. Juni 2023</w:t>
      </w:r>
    </w:p>
    <w:p>
      <w:r>
        <w:t>Bundesgericht, 2023-06-14, DE</w:t>
      </w:r>
    </w:p>
    <w:p>
      <w:r>
        <w:rPr>
          <w:b/>
        </w:rPr>
        <w:t xml:space="preserve">Quelle: </w:t>
      </w:r>
      <w:r>
        <w:t>https://mcp.opencaselaw.ch/entscheid/bger_6B_486_2023</w:t>
      </w:r>
    </w:p>
    <w:p>
      <w:r>
        <w:t>FR: TF 6B_486/2023 du 14 juin 2023</w:t>
      </w:r>
    </w:p>
    <w:p>
      <w:r>
        <w:t>IT: TF 6B_486/2023 del 14 giugno 2023</w:t>
      </w:r>
    </w:p>
    <w:p>
      <w:pPr>
        <w:pStyle w:val="Heading2"/>
      </w:pPr>
      <w:r>
        <w:t>Erwägungen</w:t>
      </w:r>
    </w:p>
    <w:p>
      <w:r>
        <w:rPr>
          <w:b/>
        </w:rPr>
        <w:t>E. 1</w:t>
      </w:r>
    </w:p>
    <w:p>
      <w:r>
        <w:t>Das Regionalgericht Bern-Mittelland stellte mit Verfügung vom 10. Januar 2023 fest, dass ein gegen den Beschwerdeführer erlassener Strafbefehl infolge Rückzugs der Einsprache (Rückzugsfiktion aufgrund unentschuldigten Fernbleibens von der Hauptverhandlung) in Rechtskraft erwachsen sei. Auf eine dagegen erhobene Beschwerde trat das Obergericht des Kantons Bern wegen Verspätung am 3. März 2023 nicht ein. Der Beschwerdeführer wendet sich an das Bundesgericht.</w:t>
      </w:r>
    </w:p>
    <w:p>
      <w:r>
        <w:rPr>
          <w:b/>
        </w:rPr>
        <w:t>E. 2</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Entscheids massgeblichen Erwägungen plausibel aufzuzeigen, welche Rechte bzw. Rechtsnormen die Vorinstanz verletzt haben soll ( BGE 142 I 99 E. 1.7.1; 140 III 86 E. 2).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Die Beschwerdeeingabe erfüllt die gesetzlichen Begründungsanforderungen nicht. Vor Bundesgericht kann es nur darum gehen, ob die Vorinstanz auf die Beschwerde zu Recht wegen Verspätung nicht eingetreten ist. Mit der Frage der Fristwahrung im kantonalen Beschwerdeverfahren befasst sich der Beschwerdeführer vor Bundesgericht nicht. Stattdessen nimmt er, soweit überhaupt nachvollziehbar, Stellung zur materiellen Seite der Angelegenheit, die nicht zum Verfahrensgegenstand gehört und mit der sich das Bundesgericht folglich nicht auseinandersetzen kann. Soweit er im Übrigen die Kostenauflage im kantonalen Beschwerdeverfahren beanstandet, zeigt er nicht auf, inwiefern die Vorinstanz Art. 428 StPO unrichtig angewandt haben könnte. Sein Gesuch um unentgeltliche Rechtspflege wurde im Übrigen (soweit Eintreten) nicht wegen fehlender Mittellosigkeit, sondern wegen Aussichtslosigkeit abgewiesen. Weshalb die Einschätzung seiner kantonalen Beschwerde als aussichtslos rechtsverletzend sein könnte, substanziiert der Beschwerdeführer nicht. Er scheint zudem zu verkennen, dass sich der aus Art. 29 Abs. 3 BV abgeleitete Anspruch auf unentgeltliche Rechtspflege nur auf die (einstweilige) Befreiung von Kosten beziehen kann, welche den Zugang zum Verfahren beschränken oder erschweren. Ist das Verfahren respektive das Rechtsmittelverfahren indessen abgeschlossen, steht Art. 29 Abs. 3 BV einer Kostenauflage nicht entgegen (Urteil 6B_847/2017 vom 7. Februar 2018 E. 5). Unerfindlich bleibt, was der Beschwerdeführer in diesem Zusammenhang aus dem bundesgerichtlichen Urteil 2C_133/2023 vom 7. März 2023 und dem Hinweis auf Art. 136 Abs. 2 lit. b StPO für sich ableiten könnte. Dass und inwiefern die Vorinstanz mit ihrem Beschluss gegen das geltende Recht im Sinne von Art. 95 BGG verstossen haben könnte, ergibt sich aus der Beschwerde nicht. Der Begründungsmangel ist offensichtlich ( Art. 42 Abs. 2 BGG ). Auf die Beschwerde ist mangels einer tauglichen Begründung im Verfahren nach Art. 108 BGG nicht einzutreten.</w:t>
      </w:r>
    </w:p>
    <w:p>
      <w:r>
        <w:rPr>
          <w:b/>
        </w:rPr>
        <w:t>E. 4</w:t>
      </w:r>
    </w:p>
    <w:p>
      <w:r>
        <w:t>Auf eine Kostenauflage kann ausnahmsweise verzichtet werden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