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485/2015 vom 2. Juni 2015</w:t>
      </w:r>
    </w:p>
    <w:p>
      <w:r>
        <w:t>Bundesgericht, 2015-06-02, FR</w:t>
      </w:r>
    </w:p>
    <w:p>
      <w:r>
        <w:rPr>
          <w:b/>
        </w:rPr>
        <w:t xml:space="preserve">Quelle: </w:t>
      </w:r>
      <w:r>
        <w:t>https://mcp.opencaselaw.ch/entscheid/bger_6B_485_2015</w:t>
      </w:r>
    </w:p>
    <w:p>
      <w:r>
        <w:t>FR: TF 6B 485/2015 du 2 juin 2015</w:t>
      </w:r>
    </w:p>
    <w:p>
      <w:r>
        <w:t>IT: TF 6B 485/2015 del 2 giugno 2015</w:t>
      </w:r>
    </w:p>
    <w:p>
      <w:pPr>
        <w:pStyle w:val="Heading2"/>
      </w:pPr>
      <w:r>
        <w:t>Regeste</w:t>
      </w:r>
    </w:p>
    <w:p>
      <w:r>
        <w:t>Ordonnance de classement (appropriation illégitime, escroquerie, extorsion, contrainte, vol, gestion déloyale, diminution effective de l'actif au préjudice des créanciers, abus de confiance, etc.), qualité pour recourir au Tribunal fédéral | Procédure pénale</w:t>
      </w:r>
    </w:p>
    <w:p>
      <w:pPr>
        <w:pStyle w:val="Heading2"/>
      </w:pPr>
      <w:r>
        <w:t>Erwägungen</w:t>
      </w:r>
    </w:p>
    <w:p>
      <w:r>
        <w:rPr>
          <w:b/>
        </w:rPr>
        <w:t>E. 1</w:t>
      </w:r>
    </w:p>
    <w:p>
      <w:r>
        <w:t>Par ordonnance du 25 mars 2015, la Chambre pénale du Tribunal cantonal valaisan a rejeté, dans la mesure où il était recevable, le recours formé par les sociétés A.________ SA, B.________ SA, C.________ SA ainsi que par D.________ contre l'ordonnance de classement partiel rendue le 4 août 2014 sur leur plainte contre X.________ pour appropriation illégitime, escroquerie, extorsion, contrainte, vol, gestion déloyale, diminution effective de l'actif au préjudice des créanciers, abus de confiance, etc. Les parties plaignantes interjettent un recours en matière pénale au Tribunal fédéral contre l'ordonnance cantonale, dont elles réclament l'annulation en concluant au renvoi de la cause.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particulier, lorsque le recours émane de plusieurs parties plaignantes qui procèdent ensemble, elles doivent chacune individuellement exposer quel est leur dommage (cf. arrêt 6B_901/2013 du 10 avril 2014 consid. 1.3). En outre, si la partie plaignante invoque des infractions distinctes, elle doit mentionner par rapport à chacune d'elles en quoi consiste son dommage. Si le dommage n'est motivé qu'en ce qui concerne l'une des infractions, le recours est irrecevable pour les autres infractions (cf. arrêt 6B_914/2013 du 27 février 2014 consid. 1.2).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les recourants n'exposent pas individuellement quel est leur dommage respectif, ni dans le principe ni dans la quotité de celui-ci. Alors qu'ils se prévalent de différents chefs d'infractions, ils ne précisent pas non plus le dommage résultant de chacun d'entre eux. La seule énumération de créances chiffrées liées à l'exploitation de l'établissement " Le A.________ " n'établit pas en quoi consiste le dommage que chaque recourant déduit de chaque infraction dénoncée. Le défaut d'explication suffisante sur les prétentions civiles exclut leur qualité pour recourir sur le fond de la cause.</w:t>
      </w:r>
    </w:p>
    <w:p>
      <w:r>
        <w:rPr>
          <w:b/>
        </w:rPr>
        <w:t>E. 2.2</w:t>
      </w:r>
    </w:p>
    <w:p>
      <w:r>
        <w:t>Pour le surplus, les recourants ne font valoir aucune violation de leurs droits procéduraux (cf. art. 81 al. 1 let. a ch. 6 LTF; voir ATF 141 IV 1 consid. 1.1 p. 4). Dans la mesure où ils invoquent la violation de la maxime de l'instruction, de l'adage " in dubio pro duriore " ainsi que du droit d'être entendu à raison de la suite accordée à certaines de leurs réquisitions de preuves, ils se prévalent de griefs irrecevables, faute d'être séparés du fond.</w:t>
      </w:r>
    </w:p>
    <w:p>
      <w:r>
        <w:rPr>
          <w:b/>
        </w:rPr>
        <w:t>E. 2.3</w:t>
      </w:r>
    </w:p>
    <w:p>
      <w:r>
        <w:t>Sur le vu de ce qui précède, le recours doit être déclaré irrecevable selon la procédure simplifiée prévue par l' art. 108 al. 1 let. a LTF .</w:t>
      </w:r>
    </w:p>
    <w:p>
      <w:r>
        <w:rPr>
          <w:b/>
        </w:rPr>
        <w:t>E. 3</w:t>
      </w:r>
    </w:p>
    <w:p>
      <w:r>
        <w:t>Les recourants, qui succombent, devront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