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483/2018 vom 13. August 2018</w:t>
      </w:r>
    </w:p>
    <w:p>
      <w:r>
        <w:t>Bundesgericht, 2018-08-13, FR</w:t>
      </w:r>
    </w:p>
    <w:p>
      <w:r>
        <w:rPr>
          <w:b/>
        </w:rPr>
        <w:t xml:space="preserve">Quelle: </w:t>
      </w:r>
      <w:r>
        <w:t>https://mcp.opencaselaw.ch/entscheid/bger_6B_483_2018</w:t>
      </w:r>
    </w:p>
    <w:p>
      <w:r>
        <w:t>FR: TF 6B 483/2018 du 13 août 2018</w:t>
      </w:r>
    </w:p>
    <w:p>
      <w:r>
        <w:t>IT: TF 6B 483/2018 del 13 agosto 2018</w:t>
      </w:r>
    </w:p>
    <w:p>
      <w:pPr>
        <w:pStyle w:val="Heading2"/>
      </w:pPr>
      <w:r>
        <w:t>Regeste</w:t>
      </w:r>
    </w:p>
    <w:p>
      <w:r>
        <w:t>Ordonnance de non-entrée en matière; irrecevabilité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références citées).</w:t>
      </w:r>
    </w:p>
    <w:p>
      <w:r>
        <w:rPr>
          <w:b/>
        </w:rPr>
        <w:t>E. 1.2</w:t>
      </w:r>
    </w:p>
    <w:p>
      <w:r>
        <w:t>La recourante ne s'exprime pas sur le principe ni la quotité d'un éventuel dommage ou tort moral, mais égrène des reproches contre l'Office des faillites, l'exécuteur testamentaire ou encore B.A.________, sans exposer quels comportements pourraient être constitutifs d'infractions ni quel préjudice en aurait découlé. Bien que la recourante se plaigne d'infractions distinctes - soit d'abus de confiance, de gestion déloyale, de faux dans les titres, de vol, d'escroquerie ou d'extorsion et chantage -, elle ne précise pas, pour chacune d'elles, en quoi consisterait le dommage ou le tort moral en résultant (cf. arrêts 6B_334/2018 du 28 juin 2018 consid. 2.1.1; 6B_914/2013 du 27 février 2014 consid. 1.2). Faute de faire valoir des prétentions civiles recevables au sens de l' art. 81 al. 1 let. a et b LTF ou de motiver celles-ci conformément aux exigences de l' art. 42 al. 1 LTF , la recourante n'a pas qualité pour recourir sur le fond de la cause.</w:t>
      </w:r>
    </w:p>
    <w:p>
      <w:r>
        <w:rPr>
          <w:b/>
        </w:rPr>
        <w:t>E. 1.3</w:t>
      </w:r>
    </w:p>
    <w:p>
      <w:r>
        <w:t>En outre, les prétentions de droit public contre l'Etat ne peuvent être invoquées dans le procès pénal par voie d'adhésion et ne constituent donc pas des prétentions civiles au sens de l' art. 81 LTF (cf. ATF 138 IV 86 consid. 3.1 p. 88). L'art. 5 de la loi fédérale sur la poursuite pour dettes et la faillite (LP; RS 281.1) dispose que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loi (al. 1). Le lésé n'a aucun droit envers la personne fautive (al. 2). Ce principe est repris par l' art. 7 al. 1 la loi neuchâteloise d'introduction de la loi fédérale sur la poursuite pour dettes et la faillite (LILP/NE; RS/NE 261.1), aux termes duquel la responsabilité du canton pour les dommages causés dans l'exécution de la LP est soumise au droit fédéral (art. 5 à 7 LP). Il s'ensuit que la recourante ne disposerait, en ce qui concerne les actes ou omissions reprochés aux agents de l'Office des faillites, que d'une prétention de droit public contre l'Etat. Celle-ci est insuffisante à fonder sa qualité pour recourir contre le refus d'entrer en matière sur sa plainte en ce qui les concerne. La recourante ne dispose donc de toute manière pas, dans cette mesure, de la qualité pour recourir sur le fond de la cause, faute de satisfaire aux conditions posées par l'art. 81 al. 1 let. b ch. 5 LTF.</w:t>
      </w:r>
    </w:p>
    <w:p>
      <w:r>
        <w:rPr>
          <w:b/>
        </w:rPr>
        <w:t>E. 1.4</w:t>
      </w:r>
    </w:p>
    <w:p>
      <w:r>
        <w:t>L'hypothèse visée à l'art. 81 al. 1 let. b ch. 6 LTF n'entre pas, quant à elle, en considération, la recourante ne soulevant aucun grief relatif à son droit de porter plainte. Celle-ci ne formule pas davantage de grief portant sur une éventuelle violation de ses droits de partie équivalant à un déni de justice formel, par lequel elle ne pourrait de toute manière pas faire valoir, même indirectement, des moyens qui ne peuvent être séparés du fond (cf. ATF 141 IV 1 consid. 1.1 p. 5).</w:t>
      </w:r>
    </w:p>
    <w:p>
      <w:r>
        <w:rPr>
          <w:b/>
        </w:rPr>
        <w:t>E. 2</w:t>
      </w:r>
    </w:p>
    <w:p>
      <w:r>
        <w:t>Le recours est manifestement irrecevable, ce qu'il y a lieu de constater dans la procédure prévue par l' art. 108 al. 1 let. a et b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