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6B_483/2015 vom 9. September 2015</w:t>
      </w:r>
    </w:p>
    <w:p>
      <w:r>
        <w:t>Bundesgericht, 2015-09-09, DE</w:t>
      </w:r>
    </w:p>
    <w:p>
      <w:r>
        <w:rPr>
          <w:b/>
        </w:rPr>
        <w:t xml:space="preserve">Quelle: </w:t>
      </w:r>
      <w:r>
        <w:t>https://mcp.opencaselaw.ch/entscheid/bger_6B_483_2015</w:t>
      </w:r>
    </w:p>
    <w:p>
      <w:r>
        <w:t>FR: TF 6B_483/2015 du 9 septembre 2015</w:t>
      </w:r>
    </w:p>
    <w:p>
      <w:r>
        <w:t>IT: TF 6B_483/2015 del 9 settembre 2015</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Der Beschwerdeführer legt dar, er habe infolge der Strafanzeige seine Anstellung verloren und dadurch einen Schaden erlitten. Es ist zweifelhaft, ob diese Ausführungen zur Legitimation den strengen Begründungsanforderungen genügen. Die Frage kann indessen offenbleiben, da die Beschwerde ohnehin abzuweisen ist.</w:t>
      </w:r>
    </w:p>
    <w:p>
      <w:r>
        <w:rPr>
          <w:b/>
        </w:rPr>
        <w:t>E. 2.1</w:t>
      </w:r>
    </w:p>
    <w:p>
      <w:r>
        <w:t>Die Vorinstanz erwägt im Wesentlichen, dass die Staatsanwaltschaft Untersuchungshandlungen vorgenommen habe, weshalb sie das Verfahren statt mittels Nichtanhandnahme durch Einstellung hätte beenden müssen. Dieser Fehler führe aber nicht zur Aufhebung der Nichtanhandnahmeverfügung. Hinsichtlich der Urkundenfälschung hält die Vorinstanz fest, dass A.B.________ im Strafverfahren gegen den Beschwerdeführer eine E-Mail vom 7. Dezember 2010 mit nicht näher bezeichneten Empfängeradresse ("undisclosed recipients") und dem Betreff "Rückruf durch Herr D.B.________" einreichte. Der Text der E-Mail sei gewesen: "Guten Tag. Herr Dr. X.________ wünscht Ihren Rückruf. Mobile yyy. Freundliche Grüsse E.________". Im Anschluss daran befinde sich eine Auflistung von fünf Anrufversuchen in der Zeit vom 10. bis zum 21. Dezember 2010 mit der Überschrift: "Direkte Anrufversuche von Nr. yyy auf die Geschäftsnummer von D.B.________". Schliesslich enthalte das Dokument noch handschriftliche Anmerkungen von A.B.________. Es sei offensichtlich, dass die Auflistung von Anrufversuchen nachträglich hinzugefügt worden und nicht Bestandteil der ursprünglichen E-Mail gewesen sei. Das von A.B.________ eingereichte Schriftstück erwecke in keiner Weise den Eindruck, dass die Ergänzung bezüglich der Anrufversuche des Beschwerdeführers von der Verfasserin der ursprünglichen Mitteilung, E.________, stammen würde. Es fehle damit bereits an der Tathandlung des Verfälschens im Sinne von Art. 251 StGB . Ausserdem sei nicht ersichtlich, inwiefern dieses Dokument die Anrufversuche hätte beweisen sollen oder können. Solches sei weder von A.B.________ noch von C.________ jemals behauptet worden. Diesem komme daher keine Urkundenqualität im Sinne von Art. 251 und Art. 110 Abs. 4 StGB zu. Inwiefern durch Einreichen der erwähnten Niederschrift der Tatbestand der Irreführung der Rechtspflege erfüllt sein soll, sei nicht erkennbar, zumal der Beschwerdeführer gar nicht bestritten habe, mehrmals versucht zu haben, mit dem Bruder von A.B.________ telefonisch Kontakt aufzunehmen. Zu den weiteren Vorbringen des Beschwerdeführers hinsichtlich Anstiftung zur falschen Anschuldigung und Irreführung der Rechtspflege hält die Vorinstanz insbesondere fest, dass C.________ mittels SMS seiner damaligen Freundin A.B.________ vor der Anzeigeerstattung mental habe beistehen wollen. Seinen Mitteilungen sei nicht zu entnehmen, dass er sie unter Druck gesetzt hätte oder sein Verhalten für einen allfälligen Tatentschluss kausal gewesen sein könnte. Zum Zeitpunkt der erwähnten SMS sei A.B.________ bereits zur Einreichung der Anzeige entschlossen gewesen, weshalb eine strafbare Anstiftung nicht möglich gewesen wäre. Namentlich habe sie zu diesem Zeitpunkt die Strafanzeige bei der Polizei bereits angekündigt und einen Termin vereinbart.</w:t>
      </w:r>
    </w:p>
    <w:p>
      <w:r>
        <w:rPr>
          <w:b/>
        </w:rPr>
        <w:t>E. 2.2</w:t>
      </w:r>
    </w:p>
    <w:p>
      <w:r>
        <w:t>Zur Urkundenfälschung bringt der Beschwerdeführer vor, dass C.________ die E-Mail von E.________ genommen habe, und dann in gleichem Schrifttyp und -grösse frei erfundene Anrufe hinzugefügt habe. Dann habe C.________ die veränderte E-Mail ausgedruckt und die Druckdaten entfernt. Jedermann wisse, dass eine ausgedruckte E-Mail anders aussehe. Auf diese Weise sei der Anschein entstanden, die Ergänzungen würden von der ursprünglichen Ausstellerin der E-Mail stammen. Hätte A.B.________ nur eine Liste der Anrufe an ihren Bruder erstellen wollen, hätte sie dies handschriftlich gemacht. Zum Tatbestand der Irreführung der Rechtspflege rügt der Beschwerdeführer, er habe anlässlich seiner Einvernahmen von vier bis fünf Anrufen an D.B.________ gesprochen. Im fraglichen Dokument sei aber von insgesamt sechs - wovon fünf fingierten - Anrufen die Rede, weshalb eine Irreführung der Rechtspflege vorliege. Zudem würden die handschriftlichen Bemerkungen nicht ausschliesslich von A.B.________, sondern auch von einer weiteren Person stammen.</w:t>
      </w:r>
    </w:p>
    <w:p>
      <w:r>
        <w:rPr>
          <w:b/>
        </w:rPr>
        <w:t>E. 2.3.1</w:t>
      </w:r>
    </w:p>
    <w:p>
      <w:r>
        <w:t>Die Staatsanwaltschaft verfügt die Einstellung des Verfahrens unter anderem, wenn kein Tatverdacht erhärtet ist, der eine Anklage rechtfertigt ( Art. 319 Abs. 1 lit. a StPO ).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86 E. 4.1.1 f., 186 E. 4.1;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 mit Hinweisen).</w:t>
      </w:r>
    </w:p>
    <w:p>
      <w:r>
        <w:rPr>
          <w:b/>
        </w:rPr>
        <w:t>E. 2.3.2</w:t>
      </w:r>
    </w:p>
    <w:p>
      <w:r>
        <w:t>Nach Art. 251 Ziff. 1 StGB macht sich der Urkundenfälschung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Verfälschen ist das eigenmächtige Abändern des gedanklichen Inhalts einer von einem anderen verurkundeten Erklärung, so dass sie nicht mehr dem ursprünglichen Erklärungsinhalt des Ausstellers entspricht und neu der Anschein entsteht, der ursprüngliche Aussteller habe ihr diesen Inhalt gegeben ( MARKUS BOOG, in: Basler Kommentar, Strafrecht II, 3. Aufl. 2013, N. 46 zu Art. 251 StGB ).</w:t>
      </w:r>
    </w:p>
    <w:p>
      <w:r>
        <w:rPr>
          <w:b/>
        </w:rPr>
        <w:t>E. 2.4</w:t>
      </w:r>
    </w:p>
    <w:p>
      <w:r>
        <w:t>Die Vorinstanz erwägt zutreffend, dass das Dokument nicht den Eindruck erwecke, die Ergänzungen hinsichtlich der Anrufversuche an D.B.________ würden von der ursprünglichen Verfasserin der E-Mail, E.________, stammen. Der Beschwerdeführer räumt selber ein, dass das bei der Polizei eingereichte Dokument nicht aussehe wie der Ausdruck einer E-Mail. Bereits aus diesem Grund kann von einer Verfälschung der ursprünglichen E-Mail keine Rede sein. Hinzu kommt, dass die E-Mail mit der Schlussformel "Freundliche Grüsse E.________" endet und die vom Beschwerdeführer beanstandete Ergänzung erst danach und ohne weitere Angaben zur Urheberschaft erfolgt. Was für eine Schriftart dabei verwendet wurde, ist ohne Bedeutung. Inwiefern unter diesen Umständen der Anschein bestehen soll, die Aufzählung der Anrufversuche an D.B.________ stamme von E.________, ist nicht erkennbar. Der Tatbestand der Urkundenfälschung ist nicht erfüllt. Auf den Einwand, die handschriftlichen Notizen würden von zwei unterschiedlichen Personen stammen, ist nicht einzutreten, zumal der Beschwerdeführer nicht darlegt, weshalb dies von Bedeutung sein soll. Die Rüge hinsichtlich der Irreführung der Rechtspflege im Zusammenhang mit der Verwendung der angeblich verfälschten Urkunde erweist sich ebenfalls als unbegründet. Die Vorinstanz stellt für das Bundesgericht verbindlich ( Art. 105 Abs. 1 BGG ) fest, der Beschwerdeführer habe nie bestritten, mehrmals versucht zu haben, mit D.B.________ zu telefonieren. Die genaue Anzahl der Anrufe ist daher nicht entscheidend. Der Beschwerdeführer äussert sich nicht zu den vorinstanzlichen Erwägungen hinsichtlich der weiteren, von ihm angezeigten Straftatbeständen. Die Staatsanwaltschaft durfte - mangels strafbaren Verhaltens - das Verfahren einstellen.</w:t>
      </w:r>
    </w:p>
    <w:p>
      <w:r>
        <w:rPr>
          <w:b/>
        </w:rPr>
        <w:t>E. 3</w:t>
      </w:r>
    </w:p>
    <w:p>
      <w:r>
        <w:t>Der Beschwerdeführer rügt mehrmals eine Verletzung des rechtlichen Gehörs. Er macht im Wesentlichen geltend, die Vorinstanz habe nicht sämtliche Akten des Strafverfahrens, welches im Kanton Luzern auf Anzeige von A.B.________ gegen ihn eröffnet wurde, gesichtet. Die verwendeten Unterlagen seien zudem nicht aktuell gewesen. A.B.________ sei nicht einvernommen worden und es seien auch keine anderen Beweise erhoben worden. Der Beschwerdeführer verkennt, dass es im Falle des angefochtenen Entscheides nicht um die Stichhaltigkeit der von A.B.________ gegen ihn erhobenen Vorwürfe geht, sondern einzig darum, ob eine Urkunde verfälscht wurde und C.________ A.B.________ dazu angestiftet habe, eine falsche Anzeige zu erstatten. Beides konnte die Vorinstanz aufgrund der ihr zur Verfügung stehenden Akten verneinen. Weitere Beweiserhebungen waren zur Beantwortung dieser Fragen nicht erforderlich. Die Rüge ist unbegründet. Auf die weiteren Vorbringen des Beschwerdeführers ist nicht einzutreten, zumal sich diese nicht auf den - zuvor umschriebenen - Gegenstand des vorinstanzlichen Verfahrens beziehen.</w:t>
      </w:r>
    </w:p>
    <w:p>
      <w:r>
        <w:rPr>
          <w:b/>
        </w:rPr>
        <w:t>E. 4</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