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482/2013 vom 30. Juli 2013</w:t>
      </w:r>
    </w:p>
    <w:p>
      <w:r>
        <w:t>Bundesgericht, 2013-07-30, FR</w:t>
      </w:r>
    </w:p>
    <w:p>
      <w:r>
        <w:rPr>
          <w:b/>
        </w:rPr>
        <w:t xml:space="preserve">Quelle: </w:t>
      </w:r>
      <w:r>
        <w:t>https://mcp.opencaselaw.ch/entscheid/bger_6B_482_2013</w:t>
      </w:r>
    </w:p>
    <w:p>
      <w:r>
        <w:t>FR: TF 6B 482/2013 du 30 juillet 2013</w:t>
      </w:r>
    </w:p>
    <w:p>
      <w:r>
        <w:t>IT: TF 6B 482/2013 del 30 luglio 2013</w:t>
      </w:r>
    </w:p>
    <w:p>
      <w:pPr>
        <w:pStyle w:val="Heading2"/>
      </w:pPr>
      <w:r>
        <w:t>Regeste</w:t>
      </w:r>
    </w:p>
    <w:p>
      <w:r>
        <w:t>Ordonnance de non-entrée en matière (calomnie, etc.) | Procédure pénale</w:t>
      </w:r>
    </w:p>
    <w:p>
      <w:pPr>
        <w:pStyle w:val="Heading2"/>
      </w:pPr>
      <w:r>
        <w:t>Erwägungen</w:t>
      </w:r>
    </w:p>
    <w:p>
      <w:r>
        <w:rPr>
          <w:b/>
        </w:rPr>
        <w:t>E. 1</w:t>
      </w:r>
    </w:p>
    <w:p>
      <w:r>
        <w:t>Les deux recours concernent deux décisions distinctes mais de contenu identique qui ont trait au même complexe de faits. Les arguments développés par les recourants sont les mêmes et leurs conclusions identiques. Il y a lieu de joindre les causes et de les traiter dans un seul arrêt ( art. 24 al. 2 PCF et 71 LTF).</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et les arrêts cités). Cette exigence vaut particulièrement lorsque la partie plaignante, invoquant une atteinte au droit de la personnalité au sens de l' art. 28 CC , prétend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et les arrêts cités).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arrêts 1B_363/2012 du 4 juin 2013 consid. 1.2.1; 1B_119/2011 du 20 avril 2011 consid. 1.2.2 et les arrêts cités). La jurisprudence précise à cet égard qu'il faut se placer d'un point de vue objectif et non raisonner en fonction de la sensibilité personnelle et subjective du lésé (arrêt 1B_119/2011 du 20 avril 2011 consid. 1.2.3 et les références citées). En substance, les recourants font valoir qu'ils auraient vécu les publications litigieuses comme une agression insupportable et injuste et auraient souffert de voir de telles assertions se répéter et leur être reportées par famille et amis. Selon eux, la gravité des propos est établie puisqu'il est question de nier la qualité d'être humain aux recourants et d'avoir une conduite contraire à l'honneur. Les recourants entendraient élever des prétentions civiles fondées sur la violation de leurs droits de la personnalité dans le cadre de la procédure pénale. Le point de savoir si le préjudice moral que les recourants prétendent avoir subi présenterait une importance suffisante pour justifier une indemnisation et partant pour fonder leur qualité pour recourir, peut souffrir de rester indécis. Il en va de même du point de savoir si la jurisprudence rendue sous l'égide de l'ancienne PPF, qui n'exigeait pas forcément la prise de conclusions civiles en matière de délit contre l'honneur, est applicable sous l'égide de la LTF, ce d'autant plus que les recourants n'ont pas indiqué qu'ils entendaient obtenir un constat selon l' art. 173 ch. 5 CP (cf. ATF 121 IV 76 consid. 1c p. 80). En effet, supposés recevables, les recours devraient de toute façon être rejetés au fond pour les motifs ci-dessous.</w:t>
      </w:r>
    </w:p>
    <w:p>
      <w:r>
        <w:rPr>
          <w:b/>
        </w:rPr>
        <w:t>E. 3</w:t>
      </w:r>
    </w:p>
    <w:p>
      <w:r>
        <w:t>Invoquant une violation de l' art. 310 CPP et du principe in dubio pro duriore, les recourants soutiennent que le ministère public aurait dû entrer en matière sur leur plainte respective.</w:t>
      </w:r>
    </w:p>
    <w:p>
      <w:r>
        <w:rPr>
          <w:b/>
        </w:rPr>
        <w:t>E. 3.1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(cf. ATF 133 IV 286 ). Déterminer ce qu'une personne a su, envisagé, voulu ou accepté relève du contenu de la pensée, à savoir de faits « internes », qui, en tant que faits ( ATF 135 IV 152 consid. 2.3.2 p. 156), lient la Cour de droit pénal ( art. 105 al. 1 LTF ), à moins qu'ils n'aient été établis de façon arbitraire ( ATF 135 IV 152 consid. 2.3.2 p. 156).</w:t>
      </w:r>
    </w:p>
    <w:p>
      <w:r>
        <w:rPr>
          <w:b/>
        </w:rPr>
        <w:t>E. 3.2</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 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(138 IV 86 consid. 4.1.2 p. 91; 137 IV 285 consid. 2.5 p. 288 s.).</w:t>
      </w:r>
    </w:p>
    <w:p>
      <w:r>
        <w:rPr>
          <w:b/>
        </w:rPr>
        <w:t>E. 3.3</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 art. 174 CP ) est une forme qualifiée de diffamation, dont elle se distingue en cela que les allégations attentatoires à l'honneur sont fausses et que l'auteur doit avoir eu connaissance de la fausseté de ses allégations. Se rend coupable d'injure celui qui aura, par la parole, l'écriture, l'image, le geste ou par des voies de fait, attaqué autrui dans son honneur ( art. 177 al. 1 CP ). Alors que la diffamation et la calomnie nécessitent que l'auteur s'adresse à un tiers, l'injure peut s'adresser soit à un tiers, soit à l'intéressé directement. Selon la jurisprudence, les délits contre l'honneur supposent que l'offense soit dirigée contre une personne déterminée ou déterminable. Il n'est pas nécessaire qu'elle soit désignée nommément. Elle doit être reconnaissable soit identifiable ( ATF 124 IV 262 consid. 2a p. 266 s.; 117 IV 27 consid. 2c p. 28 s.; 100 IV 43 consid. 2 p. 45 ss).</w:t>
      </w:r>
    </w:p>
    <w:p>
      <w:r>
        <w:rPr>
          <w:b/>
        </w:rPr>
        <w:t>E. 3.4</w:t>
      </w:r>
    </w:p>
    <w:p>
      <w:r>
        <w:t>En substance, la cour cantonale a retenu que les publications visées ne mentionnaient à aucun moment le nom des recourants et ne comportaient aucune indication permettant de les identifier. Les termes utilisés par l'auteur, en tant qu'ils visaient notamment les « sauvages », « animaux », « primitifs », « génitrices », « êtres pareils »,« monstres » et « abjects individus », étaient beaucoup trop généraux pour admettre qu'ils concernaient les recourants personnellement. Les réactions des internautes étaient tout aussi générales et aucune d'elles ne mentionnait les recourants, de sorte qu'ils ne pouvaient être suivis lorsqu'ils prétendaient que les utilisateurs de Facebook les avaient clairement identifiés. Le fait que les recourants se soient personnellement sentis visés par l'auteur ne suffisait pas à les rendre clairement reconnaissables par des tiers.</w:t>
      </w:r>
    </w:p>
    <w:p>
      <w:r>
        <w:rPr>
          <w:b/>
        </w:rPr>
        <w:t>E. 3.5</w:t>
      </w:r>
    </w:p>
    <w:p>
      <w:r>
        <w:t>Les recourants soutiennent que les circonstances permettraient à leurs proches de les identifier sans la moindre hésitation. Ils n'exposent toutefois pas en quoi ces circonstances consisteraient et elles ne ressortent pas de l'état de fait, dont les recourants ne prétendent, ni ne démontrent qu'il les omettrait arbitrairement. Contrairement à ce qu'affirment les recourants, on ne voit pas en quoi le fait que les messages parlent d'un homme qui a une compagne, avec laquelle il a eu des enfants et qui s'est libérée après des années de souffrance, homme qui la prive de ce qu'elle a de plus cher et dont la mère approuve le comportement et se retourne contre la compagne permettrait d'identifier les recourants. En effet, les termes utilisés sont trop génériques - et peuvent désigner n'importe quel couple rencontrant des difficultés liées à leur séparation - et les détails trop peu nombreux pour rendre les recourants reconnaissables, même pour leurs proches. En l'absence d'éléments permettant d'identifier les recourants, c'est à bon droit que la cour cantonale a refusé d'entrer en matière sur les infractions de diffamation et de calomnie. S'agissant de l'infraction d'injure, il ne suffit pas que les recourants se soient sentis visés par les textes pour que l'infraction soit envisageable, encore faut-il que l'intimé s'adresse bien à eux. A cet égard, si certes l'intimé admet qu'il parle de personnes précises en indiquant « j'espère que ceux que je vise se reconnaîtront », il ressort également des messages qu'à la question d'un internaute de savoir ce qui lui arrive, il répond qu'à lui rien, mais qu'il est « furax contre tous les mecs incapables de comprendre le mot égalité quand il concerne les hommes et les femmes ». Il ajoute qu' « encore une fois, ce texte, qui s'adresse en fait à tous ceux qui se sentiront concernés, et malheureusement, ces dernières années j'en ai croisé une bonne vingtaine ». On ne peut en déduire que l'intimé parle de personnes précises, encore moins des recourants en particulier. A tout le moins, il n'était pas manifestement insoutenable de retenir, sur la base de ces éléments, que le recourant ne visait pas les recourants, élément qui relève du contenu de la pensée, à savoir des faits. Par conséquent, sur la base du fait que l'intimé ne visait pas les recourants spécifiquement, la cour cantonale pouvait, sans violation du droit fédéral, refuser d'entrer en matière également sur l'infraction d'injure.</w:t>
      </w:r>
    </w:p>
    <w:p>
      <w:r>
        <w:rPr>
          <w:b/>
        </w:rPr>
        <w:t>E. 4</w:t>
      </w:r>
    </w:p>
    <w:p>
      <w:r>
        <w:t>Les recours doivent être rejetés dans la mesure où ils sont recevables. Les recourants, qui succombent, supportent les frais judiciaires, solidairement entre eux ( art. 66 al. 1 LTF ).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