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6B_480/2020 vom 25. Februar 2021</w:t>
      </w:r>
    </w:p>
    <w:p>
      <w:r>
        <w:t>Bundesgericht, 2021-02-25, DE</w:t>
      </w:r>
    </w:p>
    <w:p>
      <w:r>
        <w:rPr>
          <w:b/>
        </w:rPr>
        <w:t xml:space="preserve">Quelle: </w:t>
      </w:r>
      <w:r>
        <w:t>https://mcp.opencaselaw.ch/entscheid/bger_6B_480_2020</w:t>
      </w:r>
    </w:p>
    <w:p>
      <w:r>
        <w:t>FR: TF 6B_480/2020 du 25 février 2021</w:t>
      </w:r>
    </w:p>
    <w:p>
      <w:r>
        <w:t>IT: TF 6B_480/2020 del 25 febbraio 2021</w:t>
      </w:r>
    </w:p>
    <w:p>
      <w:pPr>
        <w:pStyle w:val="Heading2"/>
      </w:pPr>
      <w:r>
        <w:t>Erwägungen</w:t>
      </w:r>
    </w:p>
    <w:p>
      <w:r>
        <w:rPr>
          <w:b/>
        </w:rPr>
        <w:t>E. 1.1</w:t>
      </w:r>
    </w:p>
    <w:p>
      <w:r>
        <w:t>Der Beschwerdeführer macht eine Verletzung des Anklagegrundsatzes geltend. Das Statthalteramt und die Vorinstanzen hätten es unterlassen, rechtsgenügend zu fixieren, welche Tätigkeiten er selbstständig oder unselbstständig ausgeübt habe. Es bleibe unklar, welcher Sachverhalt ihm vorgeworfen werde.</w:t>
      </w:r>
    </w:p>
    <w:p>
      <w:r>
        <w:rPr>
          <w:b/>
        </w:rPr>
        <w:t>E. 1.2</w:t>
      </w:r>
    </w:p>
    <w:p>
      <w:r>
        <w:t>Die Vorinstanz erwägt, auch wenn im Strafbefehl vom 17. Januar 2019 u.a. erwähnt werde, der Beschwerdeführer habe während der Dauer der angeklagten Zahnarzttätigkeit über keine Assistenzbewilligung für die Zahnarztpraxis "B.________" und die Zahnarztpraxis C.________ verfügt, so werde ihm gemäss eindeutigem Wortlaut des Strafbefehls ausschliesslich das Erbringen von zahnärztlichen Leistungen und deren Abrechnung im eigenen Namen und damit die unbewilligte selbstständige Ausübung des Zahnarztberufes als strafbares Verhalten zur Last gelegt (vgl. angefochtenes Urteil, E. II. 3.3.1 S. 8). Dass das Statthalteramt lediglich die selbstständige Zahnarzttätigkeit des Beschwerdeführers als strafwürdig angesehen habe, ergebe sich auch vor dem Hintergrund der von ihr beantragten Bestrafung nach § 61 Abs. 1 lit. a des kantonalen Gesundheitsgesetzes (vgl. angefochtenes Urteil, E. II. 3.3.2 S. 8 f.).</w:t>
      </w:r>
    </w:p>
    <w:p>
      <w:r>
        <w:rPr>
          <w:b/>
        </w:rPr>
        <w:t>E. 1.3</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6B_332/2019 vom 29. Oktober 2019 E. 1.1; je mit Hinweisen).</w:t>
      </w:r>
    </w:p>
    <w:p>
      <w:r>
        <w:rPr>
          <w:b/>
        </w:rPr>
        <w:t>E. 1.4</w:t>
      </w:r>
    </w:p>
    <w:p>
      <w:r>
        <w:t>Das Statthalteramt wirft dem Beschwerdeführer mit Strafbefehl vom 17. Januar 2019 mitunter vor, es sei ihm trotz mehrerer Gesuche nie eine Bewilligung zur selbstständigen Berufsausübung als Zahnarzt erteilt worden. Obschon er gewusst habe, dass ihm eine solche nicht erteilt worden sei und er lediglich über eine Assistenzbewilligung als Assistenz-Zahnarzt am Standort der D.________ AG an der U.________-strasse in V.________ verfügt habe, habe er zwischen Oktober 2014 und Februar 2017 wissentlich und willentlich ohne die erforderliche Berufsausübungsbewilligung (weder eine selbstständige Berufsausübungsbewilligung noch eine Assistenzbewilligung) als Zahnarzt in der Zahnarztpraxis "B.________" und Zahnarztpraxis C.________ praktiziert. Er habe die erbrachten zahnärztliche Leistungen, insgesamt 4000 Positionen des Zahnarzttarifs, im eigenen Namen abgerechnet. Als Strafbestimmung bezeichnet der Strafbefehl § 61 Abs. 1 lit. a i.V.m. Abs. 2 des Gesundheitsgesetzes des Kantons Zürich. Mit Blick auf diesen zur Anklage erhobenen Strafbefehl überzeugt die hiervor wiedergegebene Auffassung der Vorinstanz (vgl. E. 1.2). Ernsthafte Zweifel am Wissen des Beschwerdeführers, dass ihm eine selbstständige zahnärztliche Tätigkeit ohne Bewilligung vorgeworfen wurde und er sich hinreichend auf seine Verteidigung vorbereiten konnte, sind ausgeschlossen. Daran ändert im Übrigen auch ein allenfalls anderslautender, aber nicht an ihn gerichteter Strafbefehl von Vornherein nichts (vgl. die entsprechenden Vorbringen des Beschwerdeführers in E. 2.1 hiernach). Eine Verletzung des Anklagegrundsatzes ist nicht ersichtlich.</w:t>
      </w:r>
    </w:p>
    <w:p>
      <w:r>
        <w:rPr>
          <w:b/>
        </w:rPr>
        <w:t>E. 2.1</w:t>
      </w:r>
    </w:p>
    <w:p>
      <w:r>
        <w:t>Der Beschwerdeführer rügt weiter eine unrichtige Feststellung des Sachverhalts und Verletzungen des In-dubio Grundsatzes sowie des Untersuchungsgrundsatzes. Dies ergebe sich aus zwei unterschiedlichen Strafbefehlen. Laut dem Strafbefehl vom 17. Januar 2019, der dem vorliegenden Verfahren zugrunde liegt, werfe ihm das Statthalteramt eine unbewilligte selbstständige Tätigkeit vor. In einem anderen Strafbefehl werfe es seiner Schwester und Arbeitgeberin hingegen seine unbewilligte unselbstständige Beschäftigung vor. Die Vorinstanz habe willkürlich festgehalten, es könne offen gelassen werden, ob und in welchem Umfang er Arbeiten für seine Schwester ausgeübt habe. Denn in dem Umfang, in welchem er für Letztere tätig gewesen sei, sei er offensichtlich nicht auch selbstständig tätig gewesen.</w:t>
      </w:r>
    </w:p>
    <w:p>
      <w:r>
        <w:rPr>
          <w:b/>
        </w:rPr>
        <w:t>E. 2.2</w:t>
      </w:r>
    </w:p>
    <w:p>
      <w:r>
        <w:t>Die Vorinstanz erwägt, die erste Instanz habe nachvollziehbar aufgezeigt, dass die vom Beschwerdeführer im anklagegegenständlichen Zeitraum in der Zahnarztpraxis "B.________" und der Zahnarztpraxis C.________ ausgeübte Zahnarzttätigkeit fachlich eigenverantwortlich und in eigenem Namen sowie auf eigene Rechnung erfolgt sei, weshalb sie anklagegemäss als bewilligungspflichtige selbstständige Zahnarzttätigkeit zu gelten habe. Zudem habe die erste Instanz schlüssig dargelegt, weshalb der Beschwerdeführer um seine fehlende Berufsausübungsbewilligung für die Zahnarztpraxis "B.________" und die Zahnarztpraxis C.________ gewusst haben müsse. Die erstinstanzliche Sachverhaltserstellung erweise sich weder als offensichtlich unrichtig, noch seien irgendwelche Fehler oder Widersprüche der Beweiswürdigung erkennbar, aufgrund welcher ihr Entscheid als schlechthin unhaltbar zu qualifizieren wäre. Folglich sei die erste Instanz nicht in Willkür verfallen, wenn sie den dem Beschwerdeführer im Strafbefehl vom 17. Januar 2019 zur Last gelegten Anklagesachverhalt als erstellt angesehen habe (angefochtenes Urteil, E. III. 4. S. 12).</w:t>
      </w:r>
    </w:p>
    <w:p>
      <w:r>
        <w:t>Die Argumentation des Beschwerdeführers mit dem Strafbefehl betreffend dessen Schwester gehe fehl. So schliesse die Feststellung, er sei im anklagegegenständlichen Zeitraum als selbstständiger Zahnarzt tätig gewesen, nicht aus, dass er im gleichen Zeitraum in denselben Praxen auch als unselbstständiger Zahnarzt für seine Schwester tätig gewesen sei. Ob und in welchem Umfang der Beschwerdeführer im relevanten Zeitraum auch unselbstständige Zahnarzttätigkeiten ausgeübt habe, könne offen gelassen werden, da dies nicht Gegenstand des vorliegenden Strafverfahrens bilde (angefochtenes Urteil, E. III. 5. S. 13).</w:t>
      </w:r>
    </w:p>
    <w:p>
      <w:r>
        <w:rPr>
          <w:b/>
        </w:rPr>
        <w:t>E. 2.3</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500 E. 1.1; 143 IV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143 IV 241 E. 2.3.1; je mit Hinweisen). Erforderlich ist, dass der Entscheid nicht nur in der Begründung, sondern auch im Ergebnis willkürlich ist ( BGE 141 IV 305 E. 1.2 mit Hinweisen). 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145 IV 154 E. 1.1 S. 156; 143 IV 500 E. 1.1; 143 IV 347 E. 4.4; je mit Hinweisen).</w:t>
      </w:r>
    </w:p>
    <w:p>
      <w:r>
        <w:t>Bilden wie hier ausschliesslich Übertretungen Gegenstand des erstinstanzlichen Hauptverfahrens (vgl. Art. 103 StGB , Art. 19a Ziff. 1 BetmG und § 61 Abs. 1 lit. a i.V.m. Abs. 2 des Gesundheitsgesetzes des Kantons Zürich), prüft das Berufungsgericht den von der ersten Instanz festgestellten Sachverhalt nur auf Willkür (vgl. Art. 398 Abs. 4 StPO ). In diesem Fall prüft das Bundesgericht frei, ob die Vorinstanz auf eine gegen das erstinstanzliche Urteil vorgebrachte Rüge der willkürlichen Beweiswürdigung hin zu Unrecht Willkür verneint und diese Verfassungsverletzung nicht behoben hat. Die Rüge, die Vorinstanz habe Willkür zu Unrecht verneint, muss sich deshalb auch mit den Erwägungen der ersten Instanz auseinandersetzen. Das Bundesgericht nimmt keine eigene Beweiswürdigung vor ( BGE 125 I 492 E. 1a/cc; Urteil 6B_250/2020 vom 24. Juli 2020 E. 3.2; je mit Hinweisen).</w:t>
      </w:r>
    </w:p>
    <w:p>
      <w:r>
        <w:t>Dem Grundsatz "in dubio pro reo" kommt in seiner Funktion als Beweiswürdigungsregel im Verfahren vor dem Bundesgericht keine über das Willkürverbot von Art. 9 BV hinausgehende Bedeutung zu ( BGE 144 IV 345 E. 2.2.3.1-2.2.3.3 S. 348 ff.; 143 IV 500 E. 1.1 S. 503 mit Hinweis).</w:t>
      </w:r>
    </w:p>
    <w:p>
      <w:r>
        <w:rPr>
          <w:b/>
        </w:rPr>
        <w:t>E. 2.4</w:t>
      </w:r>
    </w:p>
    <w:p>
      <w:r>
        <w:t>Der Beschwerdeführer macht zwar Willkür in der vorinstanzlichen Sachverhaltsfeststellung geltend. Er unterlässt es jedoch, sich mit den Erwägungen der ersten Instanz auseinanderzusetzen und legt somit nicht dar, inwiefern bereits diese willkürlich gewesen sein sollen. Im Übrigen belegt er mit seinem Hinweis auf einen nicht an ihn gerichteten Strafbefehl keinen offensichtlichen Widerspruch in der vorinstanzlichen Feststellung des ihm vorgeworfenen strafbaren Verhaltens als selbstständig und ohne Bewilligung tätigen Zahnarzt. Inwiefern der Umfang einer allenfalls zusätzlichen, unselbstständigen Tätigkeit, den die Vorinstanz explizit offen lässt, geradezu augenfällig entscheidwesentlich sein soll resp. die Vorinstanz in unhaltbarer Weise nicht geprüft haben soll, begründet der Beschwerdeführer nicht. Soweit auf seine Beschwerde in diesem Punkt überhaupt eingetreten werden kann, gelingt es ihm insgesamt jedenfalls nicht, aufzuzeigen, dass die Vorinstanz zu Unrecht Willkür in der erstinstanzlichen Sachverhaltsfeststellung verneint hat.</w:t>
      </w:r>
    </w:p>
    <w:p>
      <w:r>
        <w:t>Auch betreffend die geltend gemachte Verletzung des In-dubio Grundsatzes als Beweiswürdigungsregel ist der Beschwerdeführer nicht zu hören, da dieser Grundsatz nebst der Willkürrüge vorliegend keine Anwendung finden kann. Inwiefern der zusätzlich gerügten Verletzung des Untersuchungsgrundsatzes eine über das Willkürverbot von Art. 9 BV hinausgehende Bedeutung zukommen könnte, begründet der Beschwerdeführer ebenso wenig.</w:t>
      </w:r>
    </w:p>
    <w:p>
      <w:r>
        <w:rPr>
          <w:b/>
        </w:rPr>
        <w:t>E. 3</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